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E389E" w14:textId="629B688B" w:rsidR="00032B80" w:rsidRPr="009955AA" w:rsidRDefault="00032B80" w:rsidP="00C7548A"/>
    <w:p w14:paraId="2C4EDE57" w14:textId="5D2471B5" w:rsidR="00032B80" w:rsidRPr="009955AA" w:rsidRDefault="00032B80" w:rsidP="00C7548A"/>
    <w:p w14:paraId="68B47A62" w14:textId="1B8A06DE" w:rsidR="00032B80" w:rsidRDefault="00032B80" w:rsidP="00C7548A"/>
    <w:p w14:paraId="6EC7E614" w14:textId="5889CD80" w:rsidR="00D351AE" w:rsidRDefault="00D351AE" w:rsidP="00C7548A"/>
    <w:p w14:paraId="05D27D5D" w14:textId="61F7E798" w:rsidR="00D351AE" w:rsidRPr="009955AA" w:rsidRDefault="00D351AE" w:rsidP="00C7548A"/>
    <w:p w14:paraId="77200211" w14:textId="53468286" w:rsidR="00032B80" w:rsidRPr="009955AA" w:rsidRDefault="00032B80" w:rsidP="00C7548A"/>
    <w:p w14:paraId="21FC499A" w14:textId="650FFB2C" w:rsidR="00D60065" w:rsidRDefault="00D60065" w:rsidP="00C7548A"/>
    <w:p w14:paraId="66A0637F" w14:textId="7D081814" w:rsidR="0013133A" w:rsidRDefault="0013133A" w:rsidP="0013133A">
      <w:r>
        <w:t xml:space="preserve">Sous-direction de la préfiguration </w:t>
      </w:r>
    </w:p>
    <w:p w14:paraId="3215F513" w14:textId="25BFE026" w:rsidR="0013133A" w:rsidRPr="00206977" w:rsidRDefault="0013133A" w:rsidP="0013133A">
      <w:proofErr w:type="gramStart"/>
      <w:r>
        <w:t>de</w:t>
      </w:r>
      <w:proofErr w:type="gramEnd"/>
      <w:r>
        <w:t xml:space="preserve"> l’agence ministérielle de gestion</w:t>
      </w:r>
    </w:p>
    <w:p w14:paraId="7A60A7F5" w14:textId="77777777" w:rsidR="00BE3AB9" w:rsidRDefault="00BE3AB9" w:rsidP="0013133A">
      <w:pPr>
        <w:rPr>
          <w:sz w:val="16"/>
        </w:rPr>
      </w:pPr>
    </w:p>
    <w:p w14:paraId="0F67B000" w14:textId="75C7504E" w:rsidR="0013133A" w:rsidRPr="00206977" w:rsidRDefault="0013133A" w:rsidP="0013133A">
      <w:pPr>
        <w:rPr>
          <w:sz w:val="16"/>
        </w:rPr>
      </w:pPr>
      <w:r w:rsidRPr="00206977">
        <w:rPr>
          <w:sz w:val="16"/>
        </w:rPr>
        <w:t>Burea</w:t>
      </w:r>
      <w:r>
        <w:rPr>
          <w:sz w:val="16"/>
        </w:rPr>
        <w:t xml:space="preserve">u des </w:t>
      </w:r>
      <w:r w:rsidRPr="00564C26">
        <w:rPr>
          <w:color w:val="000000" w:themeColor="text1"/>
          <w:sz w:val="16"/>
        </w:rPr>
        <w:t>achats de prestations</w:t>
      </w:r>
      <w:r w:rsidR="00564C26" w:rsidRPr="00564C26">
        <w:rPr>
          <w:color w:val="000000" w:themeColor="text1"/>
          <w:sz w:val="16"/>
        </w:rPr>
        <w:t xml:space="preserve"> intellectuelles</w:t>
      </w:r>
    </w:p>
    <w:p w14:paraId="17D7982A" w14:textId="47800F75" w:rsidR="00965E92" w:rsidRDefault="00965E92" w:rsidP="00C7548A"/>
    <w:p w14:paraId="44F54485" w14:textId="12B519DC" w:rsidR="00D60065" w:rsidRDefault="00D60065" w:rsidP="00C7548A"/>
    <w:p w14:paraId="1052842D" w14:textId="01E28FA8" w:rsidR="00E85775" w:rsidRPr="00D60065" w:rsidRDefault="00E85775" w:rsidP="003F04FC">
      <w:pPr>
        <w:jc w:val="center"/>
        <w:rPr>
          <w:b/>
          <w:sz w:val="32"/>
          <w:szCs w:val="36"/>
        </w:rPr>
      </w:pPr>
      <w:r w:rsidRPr="00D60065">
        <w:rPr>
          <w:b/>
          <w:sz w:val="32"/>
          <w:szCs w:val="36"/>
        </w:rPr>
        <w:t>Cahier des clauses particulières</w:t>
      </w:r>
      <w:r w:rsidR="00D60065">
        <w:rPr>
          <w:b/>
          <w:sz w:val="32"/>
          <w:szCs w:val="36"/>
        </w:rPr>
        <w:t xml:space="preserve"> valant a</w:t>
      </w:r>
      <w:r w:rsidR="00F324F8" w:rsidRPr="00D60065">
        <w:rPr>
          <w:b/>
          <w:sz w:val="32"/>
          <w:szCs w:val="36"/>
        </w:rPr>
        <w:t>cte d’engagement</w:t>
      </w:r>
    </w:p>
    <w:p w14:paraId="48A56E5D" w14:textId="7EBFF20D" w:rsidR="00E85775" w:rsidRPr="00607864" w:rsidRDefault="00385FAD" w:rsidP="00607864">
      <w:pPr>
        <w:jc w:val="center"/>
        <w:rPr>
          <w:b/>
          <w:sz w:val="28"/>
          <w:szCs w:val="28"/>
        </w:rPr>
      </w:pPr>
      <w:r>
        <w:rPr>
          <w:b/>
          <w:sz w:val="28"/>
          <w:szCs w:val="28"/>
        </w:rPr>
        <w:t>N°</w:t>
      </w:r>
      <w:r w:rsidR="00746EE5">
        <w:rPr>
          <w:b/>
          <w:sz w:val="28"/>
          <w:szCs w:val="28"/>
        </w:rPr>
        <w:t>2025_</w:t>
      </w:r>
      <w:r w:rsidRPr="00746EE5">
        <w:rPr>
          <w:b/>
          <w:sz w:val="28"/>
          <w:szCs w:val="28"/>
        </w:rPr>
        <w:t>000</w:t>
      </w:r>
      <w:r w:rsidR="00CB46F0">
        <w:rPr>
          <w:b/>
          <w:sz w:val="28"/>
          <w:szCs w:val="28"/>
        </w:rPr>
        <w:t>867</w:t>
      </w:r>
      <w:r w:rsidR="00607864" w:rsidRPr="00607864">
        <w:rPr>
          <w:b/>
          <w:sz w:val="28"/>
          <w:szCs w:val="28"/>
        </w:rPr>
        <w:t>_SGA_SDPAM</w:t>
      </w:r>
      <w:r w:rsidR="008A6BB9">
        <w:rPr>
          <w:b/>
          <w:sz w:val="28"/>
          <w:szCs w:val="28"/>
        </w:rPr>
        <w:t>G</w:t>
      </w:r>
      <w:r w:rsidR="00607864" w:rsidRPr="00607864">
        <w:rPr>
          <w:b/>
          <w:sz w:val="28"/>
          <w:szCs w:val="28"/>
        </w:rPr>
        <w:t>_BPI</w:t>
      </w:r>
    </w:p>
    <w:p w14:paraId="0D87D296" w14:textId="5DF8AB9A" w:rsidR="00D60065" w:rsidRPr="00607864" w:rsidRDefault="00D60065" w:rsidP="00C7548A">
      <w:pPr>
        <w:rPr>
          <w:b/>
          <w:sz w:val="32"/>
          <w:szCs w:val="36"/>
        </w:rPr>
      </w:pPr>
    </w:p>
    <w:tbl>
      <w:tblPr>
        <w:tblStyle w:val="Grilledutableau"/>
        <w:tblW w:w="0" w:type="auto"/>
        <w:tblLook w:val="04A0" w:firstRow="1" w:lastRow="0" w:firstColumn="1" w:lastColumn="0" w:noHBand="0" w:noVBand="1"/>
      </w:tblPr>
      <w:tblGrid>
        <w:gridCol w:w="9968"/>
      </w:tblGrid>
      <w:tr w:rsidR="00D60065" w14:paraId="0091FB77" w14:textId="77777777" w:rsidTr="00D60065">
        <w:tc>
          <w:tcPr>
            <w:tcW w:w="9968" w:type="dxa"/>
          </w:tcPr>
          <w:p w14:paraId="5AD43D06" w14:textId="3810A0EA" w:rsidR="00D60065" w:rsidRPr="00D60065" w:rsidRDefault="00D60065" w:rsidP="00D60065">
            <w:pPr>
              <w:spacing w:before="120" w:after="120"/>
              <w:rPr>
                <w:b/>
              </w:rPr>
            </w:pPr>
            <w:r w:rsidRPr="00D60065">
              <w:rPr>
                <w:b/>
              </w:rPr>
              <w:t xml:space="preserve">Service exécutant : </w:t>
            </w:r>
            <w:r w:rsidR="00355EF8" w:rsidRPr="00355EF8">
              <w:rPr>
                <w:b/>
              </w:rPr>
              <w:t>D0975HB075</w:t>
            </w:r>
          </w:p>
          <w:p w14:paraId="1B35F8AE" w14:textId="03F7B0D7" w:rsidR="00D60065" w:rsidRPr="00D60065" w:rsidRDefault="00D60065" w:rsidP="00AB0500">
            <w:pPr>
              <w:spacing w:before="120" w:after="120"/>
              <w:rPr>
                <w:b/>
              </w:rPr>
            </w:pPr>
            <w:r w:rsidRPr="00D60065">
              <w:rPr>
                <w:b/>
              </w:rPr>
              <w:t xml:space="preserve">Code nomenclature CPV : </w:t>
            </w:r>
            <w:r w:rsidR="00AB0500">
              <w:rPr>
                <w:b/>
              </w:rPr>
              <w:t>75220000-4</w:t>
            </w:r>
            <w:r w:rsidRPr="00D60065">
              <w:rPr>
                <w:b/>
              </w:rPr>
              <w:t xml:space="preserve"> </w:t>
            </w:r>
            <w:r w:rsidRPr="00AB0500">
              <w:rPr>
                <w:b/>
              </w:rPr>
              <w:t xml:space="preserve">« </w:t>
            </w:r>
            <w:r w:rsidR="00AB0500" w:rsidRPr="00AB0500">
              <w:rPr>
                <w:b/>
              </w:rPr>
              <w:t>Services de défense</w:t>
            </w:r>
            <w:r w:rsidR="00AB0500" w:rsidRPr="00AB0500">
              <w:rPr>
                <w:rStyle w:val="Emphaseintense"/>
                <w:b/>
              </w:rPr>
              <w:t xml:space="preserve"> </w:t>
            </w:r>
            <w:r w:rsidRPr="00AB0500">
              <w:rPr>
                <w:b/>
              </w:rPr>
              <w:t>»</w:t>
            </w:r>
          </w:p>
        </w:tc>
      </w:tr>
    </w:tbl>
    <w:p w14:paraId="7B68A5F2" w14:textId="3F18110C" w:rsidR="00E85775" w:rsidRPr="00E85775" w:rsidRDefault="00E85775" w:rsidP="00C7548A"/>
    <w:p w14:paraId="34B15E9A" w14:textId="74F36ABF" w:rsidR="000F5616" w:rsidRPr="002B649C" w:rsidRDefault="00F324F8" w:rsidP="000F5616">
      <w:pPr>
        <w:rPr>
          <w:rFonts w:cs="Arial"/>
        </w:rPr>
      </w:pPr>
      <w:r w:rsidRPr="00B60116">
        <w:rPr>
          <w:szCs w:val="24"/>
        </w:rPr>
        <w:t xml:space="preserve">Passé </w:t>
      </w:r>
      <w:r w:rsidRPr="00AB0500">
        <w:t xml:space="preserve">selon une procédure adaptée en </w:t>
      </w:r>
      <w:r w:rsidRPr="000F5616">
        <w:t xml:space="preserve">vertu </w:t>
      </w:r>
      <w:r w:rsidR="000F5616" w:rsidRPr="00381AFF">
        <w:rPr>
          <w:rFonts w:cs="Arial"/>
        </w:rPr>
        <w:t xml:space="preserve">des articles R. 2123-1 à R. 2123-3 </w:t>
      </w:r>
      <w:r w:rsidR="000F5616" w:rsidRPr="002B649C">
        <w:rPr>
          <w:rFonts w:cs="Arial"/>
        </w:rPr>
        <w:t>du code de la commande publique.</w:t>
      </w:r>
    </w:p>
    <w:p w14:paraId="6904861B" w14:textId="151FACB8" w:rsidR="00564C26" w:rsidRPr="00B60116" w:rsidRDefault="00564C26" w:rsidP="000F5616">
      <w:pPr>
        <w:tabs>
          <w:tab w:val="left" w:pos="4536"/>
        </w:tabs>
        <w:spacing w:before="120"/>
        <w:rPr>
          <w:b/>
          <w:bCs/>
          <w:szCs w:val="24"/>
        </w:rPr>
      </w:pPr>
    </w:p>
    <w:p w14:paraId="6D99B6F0" w14:textId="535536C8" w:rsidR="00F324F8" w:rsidRDefault="00F324F8" w:rsidP="00F324F8">
      <w:pPr>
        <w:spacing w:after="60"/>
        <w:rPr>
          <w:szCs w:val="24"/>
        </w:rPr>
      </w:pPr>
      <w:r w:rsidRPr="00B60116">
        <w:rPr>
          <w:b/>
          <w:bCs/>
          <w:szCs w:val="24"/>
        </w:rPr>
        <w:t xml:space="preserve">Objet </w:t>
      </w:r>
      <w:r w:rsidR="0037147F">
        <w:rPr>
          <w:b/>
          <w:bCs/>
          <w:szCs w:val="24"/>
        </w:rPr>
        <w:t>de l’accord-cadre</w:t>
      </w:r>
      <w:r w:rsidRPr="00B60116">
        <w:rPr>
          <w:b/>
          <w:bCs/>
          <w:szCs w:val="24"/>
        </w:rPr>
        <w:t> </w:t>
      </w:r>
      <w:r>
        <w:rPr>
          <w:szCs w:val="24"/>
        </w:rPr>
        <w:t>:</w:t>
      </w:r>
      <w:r w:rsidR="00AB0500">
        <w:rPr>
          <w:szCs w:val="24"/>
        </w:rPr>
        <w:t xml:space="preserve"> </w:t>
      </w:r>
      <w:r w:rsidR="008E680A">
        <w:rPr>
          <w:rFonts w:cs="Arial"/>
        </w:rPr>
        <w:t xml:space="preserve">Observatoire n°2026-02 intitulé : </w:t>
      </w:r>
      <w:r w:rsidR="009F0863">
        <w:rPr>
          <w:rFonts w:cs="Arial"/>
        </w:rPr>
        <w:t>o</w:t>
      </w:r>
      <w:r w:rsidR="003D641E">
        <w:rPr>
          <w:rFonts w:cs="Arial"/>
        </w:rPr>
        <w:t>bservatoire de l’Afrique de l’E</w:t>
      </w:r>
      <w:r w:rsidR="008E680A">
        <w:rPr>
          <w:rFonts w:cs="Arial"/>
        </w:rPr>
        <w:t>st, centrale et australe</w:t>
      </w:r>
    </w:p>
    <w:p w14:paraId="1ED5BF0B" w14:textId="2E7BBF1F" w:rsidR="00D60065" w:rsidRDefault="00D60065" w:rsidP="00D60065">
      <w:pPr>
        <w:pStyle w:val="Corpsdetexte"/>
        <w:jc w:val="both"/>
        <w:rPr>
          <w:bCs w:val="0"/>
          <w:szCs w:val="24"/>
        </w:rPr>
      </w:pPr>
    </w:p>
    <w:p w14:paraId="090EB9EE" w14:textId="0A9F0A9E" w:rsidR="00B57E66" w:rsidRPr="009A32D4" w:rsidRDefault="00B57E66" w:rsidP="00D60065">
      <w:pPr>
        <w:pStyle w:val="Corpsdetexte"/>
        <w:jc w:val="both"/>
        <w:rPr>
          <w:bCs w:val="0"/>
          <w:szCs w:val="24"/>
        </w:rPr>
      </w:pPr>
    </w:p>
    <w:p w14:paraId="14FF8407" w14:textId="7716CFFF" w:rsidR="00F324F8" w:rsidRPr="0075771B" w:rsidRDefault="00F324F8" w:rsidP="0075771B">
      <w:pPr>
        <w:rPr>
          <w:szCs w:val="24"/>
        </w:rPr>
      </w:pPr>
      <w:r w:rsidRPr="0075771B">
        <w:t xml:space="preserve">Entre </w:t>
      </w:r>
      <w:r w:rsidR="00A87FAB">
        <w:t>l’acheteur</w:t>
      </w:r>
      <w:r w:rsidRPr="0075771B">
        <w:t xml:space="preserve">, </w:t>
      </w:r>
      <w:r w:rsidRPr="0075771B">
        <w:rPr>
          <w:szCs w:val="24"/>
        </w:rPr>
        <w:t>d’une part, et</w:t>
      </w:r>
    </w:p>
    <w:p w14:paraId="2978CC99" w14:textId="737548B9" w:rsidR="00D60065" w:rsidRDefault="00D60065" w:rsidP="00D60065">
      <w:pPr>
        <w:jc w:val="center"/>
        <w:rPr>
          <w:b/>
          <w:szCs w:val="24"/>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F324F8" w:rsidRPr="009A32D4" w14:paraId="67863CC3" w14:textId="77777777" w:rsidTr="0075771B">
        <w:trPr>
          <w:trHeight w:val="2381"/>
        </w:trPr>
        <w:tc>
          <w:tcPr>
            <w:tcW w:w="9967" w:type="dxa"/>
            <w:shd w:val="clear" w:color="auto" w:fill="auto"/>
          </w:tcPr>
          <w:p w14:paraId="1A4DCB12" w14:textId="5FB50678" w:rsidR="00F324F8" w:rsidRPr="009A32D4" w:rsidRDefault="00F324F8" w:rsidP="0075771B">
            <w:pPr>
              <w:tabs>
                <w:tab w:val="left" w:pos="-1701"/>
                <w:tab w:val="left" w:pos="1843"/>
                <w:tab w:val="left" w:pos="1985"/>
              </w:tabs>
              <w:spacing w:before="60" w:after="60"/>
              <w:ind w:left="1985" w:hanging="1985"/>
              <w:rPr>
                <w:szCs w:val="24"/>
              </w:rPr>
            </w:pPr>
            <w:r w:rsidRPr="009A32D4">
              <w:rPr>
                <w:szCs w:val="24"/>
              </w:rPr>
              <w:t xml:space="preserve">La société </w:t>
            </w:r>
            <w:r w:rsidRPr="009A32D4">
              <w:rPr>
                <w:szCs w:val="24"/>
              </w:rPr>
              <w:tab/>
              <w:t>:</w:t>
            </w:r>
            <w:r w:rsidRPr="009A32D4">
              <w:rPr>
                <w:szCs w:val="24"/>
              </w:rPr>
              <w:tab/>
              <w:t>………………...,</w:t>
            </w:r>
          </w:p>
          <w:p w14:paraId="357441F0" w14:textId="463B1A17"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Forme sociale</w:t>
            </w:r>
            <w:r w:rsidRPr="009A32D4">
              <w:rPr>
                <w:b/>
                <w:bCs/>
                <w:szCs w:val="24"/>
              </w:rPr>
              <w:tab/>
            </w:r>
            <w:r w:rsidRPr="009A32D4">
              <w:rPr>
                <w:szCs w:val="24"/>
              </w:rPr>
              <w:t>:</w:t>
            </w:r>
            <w:r w:rsidRPr="009A32D4">
              <w:rPr>
                <w:szCs w:val="24"/>
              </w:rPr>
              <w:tab/>
              <w:t>………………...,</w:t>
            </w:r>
          </w:p>
          <w:p w14:paraId="48126A34" w14:textId="27EA4AAB"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Capital social</w:t>
            </w:r>
            <w:r w:rsidRPr="009A32D4">
              <w:rPr>
                <w:b/>
                <w:bCs/>
                <w:szCs w:val="24"/>
              </w:rPr>
              <w:tab/>
            </w:r>
            <w:r w:rsidRPr="009A32D4">
              <w:rPr>
                <w:szCs w:val="24"/>
              </w:rPr>
              <w:t>:</w:t>
            </w:r>
            <w:r w:rsidRPr="009A32D4">
              <w:rPr>
                <w:szCs w:val="24"/>
              </w:rPr>
              <w:tab/>
              <w:t>………………...,</w:t>
            </w:r>
          </w:p>
          <w:p w14:paraId="05813AD0" w14:textId="27E9AAB4"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Siège social</w:t>
            </w:r>
            <w:r w:rsidRPr="009A32D4">
              <w:rPr>
                <w:b/>
                <w:bCs/>
                <w:szCs w:val="24"/>
              </w:rPr>
              <w:tab/>
            </w:r>
            <w:r w:rsidRPr="009A32D4">
              <w:rPr>
                <w:szCs w:val="24"/>
              </w:rPr>
              <w:t>:</w:t>
            </w:r>
            <w:r w:rsidRPr="009A32D4">
              <w:rPr>
                <w:szCs w:val="24"/>
              </w:rPr>
              <w:tab/>
              <w:t>………………...,</w:t>
            </w:r>
          </w:p>
          <w:p w14:paraId="49BA02F2" w14:textId="77777777" w:rsidR="00F324F8" w:rsidRDefault="00F324F8" w:rsidP="0075771B">
            <w:pPr>
              <w:tabs>
                <w:tab w:val="left" w:pos="-1701"/>
                <w:tab w:val="left" w:pos="1843"/>
                <w:tab w:val="left" w:pos="1985"/>
                <w:tab w:val="left" w:pos="3400"/>
              </w:tabs>
              <w:spacing w:before="60" w:after="60"/>
              <w:rPr>
                <w:szCs w:val="24"/>
              </w:rPr>
            </w:pPr>
            <w:r w:rsidRPr="009A32D4">
              <w:rPr>
                <w:szCs w:val="24"/>
              </w:rPr>
              <w:t>N° SIRET</w:t>
            </w:r>
            <w:r w:rsidRPr="009A32D4">
              <w:rPr>
                <w:b/>
                <w:bCs/>
                <w:szCs w:val="24"/>
              </w:rPr>
              <w:tab/>
            </w:r>
            <w:r w:rsidRPr="009A32D4">
              <w:rPr>
                <w:szCs w:val="24"/>
              </w:rPr>
              <w:t>:</w:t>
            </w:r>
            <w:r w:rsidRPr="009A32D4">
              <w:rPr>
                <w:szCs w:val="24"/>
              </w:rPr>
              <w:tab/>
              <w:t>………………...,</w:t>
            </w:r>
          </w:p>
          <w:p w14:paraId="000FDF66" w14:textId="77777777" w:rsidR="0075771B" w:rsidRDefault="0075771B" w:rsidP="0075771B">
            <w:pPr>
              <w:tabs>
                <w:tab w:val="left" w:pos="-1701"/>
                <w:tab w:val="left" w:pos="1843"/>
                <w:tab w:val="left" w:pos="1985"/>
                <w:tab w:val="left" w:pos="3400"/>
              </w:tabs>
              <w:spacing w:before="60" w:after="60"/>
              <w:rPr>
                <w:szCs w:val="24"/>
              </w:rPr>
            </w:pPr>
            <w:r>
              <w:t>Représentée par</w:t>
            </w:r>
            <w:r>
              <w:tab/>
              <w:t>: …………………,</w:t>
            </w:r>
          </w:p>
          <w:p w14:paraId="7BFA0B97" w14:textId="77777777" w:rsidR="00F324F8" w:rsidRDefault="0075771B" w:rsidP="0075771B">
            <w:pPr>
              <w:spacing w:before="60" w:after="60"/>
            </w:pPr>
            <w:r w:rsidRPr="009A32D4">
              <w:t>A</w:t>
            </w:r>
            <w:r>
              <w:t xml:space="preserve">gissant </w:t>
            </w:r>
            <w:r w:rsidR="00F324F8">
              <w:t>en qualité de ………………...</w:t>
            </w:r>
          </w:p>
          <w:p w14:paraId="429BA142" w14:textId="77777777" w:rsidR="00F324F8" w:rsidRPr="008555F8" w:rsidRDefault="0075771B" w:rsidP="0075771B">
            <w:pPr>
              <w:spacing w:before="60" w:after="60"/>
            </w:pPr>
            <w:r>
              <w:t xml:space="preserve">Adresse </w:t>
            </w:r>
            <w:r w:rsidR="00F324F8">
              <w:t>de messagerie électronique :</w:t>
            </w:r>
          </w:p>
        </w:tc>
      </w:tr>
    </w:tbl>
    <w:p w14:paraId="23D5F23D" w14:textId="2229F46D" w:rsidR="00F324F8" w:rsidRPr="0075771B" w:rsidRDefault="00F324F8" w:rsidP="0075771B">
      <w:pPr>
        <w:spacing w:before="120"/>
        <w:jc w:val="left"/>
        <w:rPr>
          <w:szCs w:val="24"/>
        </w:rPr>
      </w:pPr>
      <w:proofErr w:type="gramStart"/>
      <w:r w:rsidRPr="0075771B">
        <w:rPr>
          <w:szCs w:val="24"/>
        </w:rPr>
        <w:t>d’autre</w:t>
      </w:r>
      <w:proofErr w:type="gramEnd"/>
      <w:r w:rsidRPr="0075771B">
        <w:rPr>
          <w:szCs w:val="24"/>
        </w:rPr>
        <w:t xml:space="preserve"> part,</w:t>
      </w:r>
    </w:p>
    <w:p w14:paraId="61BAC921" w14:textId="07C6A6B6" w:rsidR="0075771B" w:rsidRPr="0075771B" w:rsidRDefault="0075771B" w:rsidP="0075771B">
      <w:pPr>
        <w:spacing w:before="120"/>
        <w:jc w:val="left"/>
        <w:rPr>
          <w:b/>
          <w:szCs w:val="24"/>
        </w:rPr>
      </w:pPr>
    </w:p>
    <w:p w14:paraId="55C2CEF4" w14:textId="422FB6C5" w:rsidR="00F324F8" w:rsidRPr="009A32D4" w:rsidRDefault="00F324F8" w:rsidP="0075771B">
      <w:r w:rsidRPr="009A32D4">
        <w:t xml:space="preserve">La société précitée est dénommée </w:t>
      </w:r>
      <w:r>
        <w:t>« </w:t>
      </w:r>
      <w:r w:rsidRPr="009A32D4">
        <w:t>le titulaire</w:t>
      </w:r>
      <w:r>
        <w:t> »</w:t>
      </w:r>
      <w:r w:rsidRPr="009A32D4">
        <w:t xml:space="preserve"> dans les clauses qui vont suivre.</w:t>
      </w:r>
    </w:p>
    <w:p w14:paraId="2D8A49EC" w14:textId="73E9739C" w:rsidR="00F324F8" w:rsidRPr="009A32D4" w:rsidRDefault="00F324F8" w:rsidP="0075771B">
      <w:pPr>
        <w:spacing w:before="120"/>
        <w:rPr>
          <w:szCs w:val="24"/>
        </w:rPr>
      </w:pPr>
      <w:r w:rsidRPr="009A32D4">
        <w:rPr>
          <w:szCs w:val="24"/>
        </w:rPr>
        <w:t xml:space="preserve">Le titulaire, après avoir pris connaissance de toutes les pièces </w:t>
      </w:r>
      <w:r w:rsidR="0037147F">
        <w:rPr>
          <w:szCs w:val="24"/>
        </w:rPr>
        <w:t>de l’accord-cadre</w:t>
      </w:r>
      <w:r w:rsidRPr="009A32D4">
        <w:rPr>
          <w:szCs w:val="24"/>
        </w:rPr>
        <w:t xml:space="preserve"> et après avoir apprécié la nature et l’importance des prestations à réaliser, s’engage envers la personne publique, qui accepte, à les exécuter conformément aux </w:t>
      </w:r>
      <w:r w:rsidR="00B616B4">
        <w:rPr>
          <w:szCs w:val="24"/>
        </w:rPr>
        <w:t>stipulations</w:t>
      </w:r>
      <w:r w:rsidR="00B616B4" w:rsidRPr="009A32D4">
        <w:rPr>
          <w:szCs w:val="24"/>
        </w:rPr>
        <w:t xml:space="preserve"> </w:t>
      </w:r>
      <w:r w:rsidRPr="009A32D4">
        <w:rPr>
          <w:szCs w:val="24"/>
        </w:rPr>
        <w:t xml:space="preserve">du présent </w:t>
      </w:r>
      <w:r w:rsidR="003F3865">
        <w:rPr>
          <w:szCs w:val="24"/>
        </w:rPr>
        <w:t>accord-cadre</w:t>
      </w:r>
      <w:r w:rsidRPr="009A32D4">
        <w:rPr>
          <w:szCs w:val="24"/>
        </w:rPr>
        <w:t>.</w:t>
      </w:r>
    </w:p>
    <w:p w14:paraId="2D42B010" w14:textId="6B448054" w:rsidR="00F324F8" w:rsidRDefault="00F324F8" w:rsidP="00F324F8">
      <w:pPr>
        <w:tabs>
          <w:tab w:val="left" w:pos="-1701"/>
          <w:tab w:val="left" w:pos="1800"/>
          <w:tab w:val="left" w:pos="1985"/>
          <w:tab w:val="left" w:pos="3400"/>
        </w:tabs>
        <w:spacing w:before="120"/>
        <w:ind w:left="1985" w:hanging="1985"/>
        <w:jc w:val="center"/>
        <w:rPr>
          <w:b/>
          <w:szCs w:val="24"/>
        </w:rPr>
      </w:pPr>
    </w:p>
    <w:p w14:paraId="14F1637E" w14:textId="3BF15410" w:rsidR="009F0863" w:rsidRDefault="009F0863" w:rsidP="008966A8">
      <w:pPr>
        <w:tabs>
          <w:tab w:val="left" w:pos="-1701"/>
          <w:tab w:val="left" w:pos="1800"/>
          <w:tab w:val="left" w:pos="1985"/>
          <w:tab w:val="left" w:pos="3400"/>
        </w:tabs>
        <w:spacing w:before="120"/>
        <w:rPr>
          <w:b/>
          <w:szCs w:val="24"/>
        </w:rPr>
      </w:pPr>
    </w:p>
    <w:p w14:paraId="3432C2D4" w14:textId="77777777" w:rsidR="008966A8" w:rsidRDefault="008966A8" w:rsidP="008966A8">
      <w:pPr>
        <w:tabs>
          <w:tab w:val="left" w:pos="-1701"/>
          <w:tab w:val="left" w:pos="1800"/>
          <w:tab w:val="left" w:pos="1985"/>
          <w:tab w:val="left" w:pos="3400"/>
        </w:tabs>
        <w:spacing w:before="120"/>
        <w:rPr>
          <w:b/>
          <w:szCs w:val="24"/>
        </w:rPr>
      </w:pPr>
    </w:p>
    <w:p w14:paraId="1882963D" w14:textId="39C4123B" w:rsidR="009F0863" w:rsidRDefault="009F0863" w:rsidP="00F324F8">
      <w:pPr>
        <w:tabs>
          <w:tab w:val="left" w:pos="-1701"/>
          <w:tab w:val="left" w:pos="1800"/>
          <w:tab w:val="left" w:pos="1985"/>
          <w:tab w:val="left" w:pos="3400"/>
        </w:tabs>
        <w:spacing w:before="120"/>
        <w:ind w:left="1985" w:hanging="1985"/>
        <w:jc w:val="center"/>
        <w:rPr>
          <w:b/>
          <w:szCs w:val="24"/>
        </w:rPr>
      </w:pPr>
    </w:p>
    <w:p w14:paraId="31FC2F23" w14:textId="0450685D" w:rsidR="009F0863" w:rsidRDefault="009F0863" w:rsidP="00F324F8">
      <w:pPr>
        <w:tabs>
          <w:tab w:val="left" w:pos="-1701"/>
          <w:tab w:val="left" w:pos="1800"/>
          <w:tab w:val="left" w:pos="1985"/>
          <w:tab w:val="left" w:pos="3400"/>
        </w:tabs>
        <w:spacing w:before="120"/>
        <w:ind w:left="1985" w:hanging="1985"/>
        <w:jc w:val="center"/>
        <w:rPr>
          <w:b/>
          <w:szCs w:val="24"/>
        </w:rPr>
      </w:pPr>
    </w:p>
    <w:p w14:paraId="1BC075AE" w14:textId="3AEDBFCC" w:rsidR="009F0863" w:rsidRDefault="009F0863" w:rsidP="00F324F8">
      <w:pPr>
        <w:tabs>
          <w:tab w:val="left" w:pos="-1701"/>
          <w:tab w:val="left" w:pos="1800"/>
          <w:tab w:val="left" w:pos="1985"/>
          <w:tab w:val="left" w:pos="3400"/>
        </w:tabs>
        <w:spacing w:before="120"/>
        <w:ind w:left="1985" w:hanging="1985"/>
        <w:jc w:val="center"/>
        <w:rPr>
          <w:b/>
          <w:szCs w:val="24"/>
        </w:rPr>
      </w:pPr>
    </w:p>
    <w:p w14:paraId="4DE3BF10" w14:textId="77777777" w:rsidR="009F0863" w:rsidRDefault="009F0863" w:rsidP="00F324F8">
      <w:pPr>
        <w:tabs>
          <w:tab w:val="left" w:pos="-1701"/>
          <w:tab w:val="left" w:pos="1800"/>
          <w:tab w:val="left" w:pos="1985"/>
          <w:tab w:val="left" w:pos="3400"/>
        </w:tabs>
        <w:spacing w:before="120"/>
        <w:ind w:left="1985" w:hanging="1985"/>
        <w:jc w:val="center"/>
        <w:rPr>
          <w:b/>
          <w:szCs w:val="24"/>
        </w:rPr>
      </w:pPr>
    </w:p>
    <w:p w14:paraId="45310F8D" w14:textId="7F067CA0" w:rsidR="00B57E66" w:rsidRPr="009A32D4" w:rsidRDefault="00974A31" w:rsidP="00F324F8">
      <w:pPr>
        <w:tabs>
          <w:tab w:val="left" w:pos="-1701"/>
          <w:tab w:val="left" w:pos="1800"/>
          <w:tab w:val="left" w:pos="1985"/>
          <w:tab w:val="left" w:pos="3400"/>
        </w:tabs>
        <w:spacing w:before="120"/>
        <w:ind w:left="1985" w:hanging="1985"/>
        <w:jc w:val="center"/>
        <w:rPr>
          <w:b/>
          <w:szCs w:val="24"/>
        </w:rPr>
      </w:pPr>
      <w:r>
        <w:rPr>
          <w:rFonts w:ascii="Marianne" w:hAnsi="Marianne"/>
          <w:noProof/>
        </w:rPr>
        <w:drawing>
          <wp:anchor distT="0" distB="0" distL="114300" distR="114300" simplePos="0" relativeHeight="251659264" behindDoc="1" locked="0" layoutInCell="1" allowOverlap="1" wp14:anchorId="5A1766A2" wp14:editId="22B4A6ED">
            <wp:simplePos x="0" y="0"/>
            <wp:positionH relativeFrom="margin">
              <wp:posOffset>3450590</wp:posOffset>
            </wp:positionH>
            <wp:positionV relativeFrom="paragraph">
              <wp:posOffset>461645</wp:posOffset>
            </wp:positionV>
            <wp:extent cx="539750" cy="539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062E70C3" w14:textId="6D1B8563" w:rsidR="00F324F8" w:rsidRPr="009A32D4" w:rsidRDefault="00F324F8" w:rsidP="00F324F8">
      <w:pPr>
        <w:tabs>
          <w:tab w:val="left" w:pos="-1701"/>
          <w:tab w:val="left" w:pos="1800"/>
          <w:tab w:val="left" w:pos="1985"/>
          <w:tab w:val="left" w:pos="3400"/>
        </w:tabs>
        <w:spacing w:before="120"/>
        <w:ind w:left="1985" w:hanging="1985"/>
        <w:jc w:val="center"/>
        <w:rPr>
          <w:b/>
          <w:szCs w:val="24"/>
        </w:rPr>
      </w:pPr>
      <w:r w:rsidRPr="009A32D4">
        <w:rPr>
          <w:b/>
          <w:szCs w:val="24"/>
        </w:rPr>
        <w:lastRenderedPageBreak/>
        <w:t>OU DANS LE CAS D’UN GROUPEMENT TEMPORAIRE (</w:t>
      </w:r>
      <w:r w:rsidR="009949CF">
        <w:rPr>
          <w:b/>
          <w:szCs w:val="24"/>
        </w:rPr>
        <w:t>groupement d’opérateurs économiques</w:t>
      </w:r>
      <w:r w:rsidRPr="009A32D4">
        <w:rPr>
          <w:b/>
          <w:szCs w:val="24"/>
        </w:rPr>
        <w:t>)</w:t>
      </w:r>
    </w:p>
    <w:p w14:paraId="3EA8A8D4" w14:textId="77777777" w:rsidR="00F324F8" w:rsidRPr="009A32D4" w:rsidRDefault="00F324F8" w:rsidP="00F324F8">
      <w:pPr>
        <w:tabs>
          <w:tab w:val="left" w:pos="-1701"/>
          <w:tab w:val="left" w:pos="1800"/>
          <w:tab w:val="left" w:pos="1985"/>
          <w:tab w:val="left" w:pos="3400"/>
        </w:tabs>
        <w:spacing w:before="120"/>
        <w:ind w:left="1985" w:hanging="1985"/>
        <w:jc w:val="center"/>
        <w:rPr>
          <w:b/>
          <w:szCs w:val="24"/>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2"/>
      </w:tblGrid>
      <w:tr w:rsidR="00F324F8" w:rsidRPr="009A32D4" w14:paraId="44E0239F" w14:textId="77777777" w:rsidTr="0075771B">
        <w:tc>
          <w:tcPr>
            <w:tcW w:w="9782" w:type="dxa"/>
            <w:shd w:val="clear" w:color="auto" w:fill="auto"/>
          </w:tcPr>
          <w:p w14:paraId="6761AB80" w14:textId="77777777" w:rsidR="00F324F8" w:rsidRPr="009A32D4" w:rsidRDefault="00F324F8" w:rsidP="007904F0">
            <w:pPr>
              <w:tabs>
                <w:tab w:val="left" w:pos="-1701"/>
                <w:tab w:val="left" w:pos="1800"/>
                <w:tab w:val="left" w:pos="1985"/>
                <w:tab w:val="left" w:pos="3400"/>
              </w:tabs>
              <w:spacing w:before="120"/>
              <w:ind w:left="1985" w:hanging="1985"/>
              <w:rPr>
                <w:szCs w:val="24"/>
              </w:rPr>
            </w:pPr>
            <w:r w:rsidRPr="009A32D4">
              <w:rPr>
                <w:szCs w:val="24"/>
              </w:rPr>
              <w:t xml:space="preserve">La société </w:t>
            </w:r>
            <w:r w:rsidRPr="009A32D4">
              <w:rPr>
                <w:szCs w:val="24"/>
              </w:rPr>
              <w:tab/>
              <w:t>:</w:t>
            </w:r>
            <w:r w:rsidRPr="009A32D4">
              <w:rPr>
                <w:szCs w:val="24"/>
              </w:rPr>
              <w:tab/>
              <w:t>………………...,</w:t>
            </w:r>
          </w:p>
          <w:p w14:paraId="28FD2937"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Forme sociale</w:t>
            </w:r>
            <w:r w:rsidRPr="009A32D4">
              <w:rPr>
                <w:b/>
                <w:bCs/>
                <w:szCs w:val="24"/>
              </w:rPr>
              <w:tab/>
            </w:r>
            <w:r w:rsidRPr="009A32D4">
              <w:rPr>
                <w:szCs w:val="24"/>
              </w:rPr>
              <w:t>:</w:t>
            </w:r>
            <w:r w:rsidRPr="009A32D4">
              <w:rPr>
                <w:szCs w:val="24"/>
              </w:rPr>
              <w:tab/>
              <w:t>………………...,</w:t>
            </w:r>
          </w:p>
          <w:p w14:paraId="1322E30C"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Capital social</w:t>
            </w:r>
            <w:r w:rsidRPr="009A32D4">
              <w:rPr>
                <w:b/>
                <w:bCs/>
                <w:szCs w:val="24"/>
              </w:rPr>
              <w:tab/>
            </w:r>
            <w:r w:rsidRPr="009A32D4">
              <w:rPr>
                <w:szCs w:val="24"/>
              </w:rPr>
              <w:t>:</w:t>
            </w:r>
            <w:r w:rsidRPr="009A32D4">
              <w:rPr>
                <w:szCs w:val="24"/>
              </w:rPr>
              <w:tab/>
              <w:t>………………...,</w:t>
            </w:r>
          </w:p>
          <w:p w14:paraId="3C6D0273"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Siège social</w:t>
            </w:r>
            <w:r w:rsidRPr="009A32D4">
              <w:rPr>
                <w:b/>
                <w:bCs/>
                <w:szCs w:val="24"/>
              </w:rPr>
              <w:tab/>
            </w:r>
            <w:r w:rsidRPr="009A32D4">
              <w:rPr>
                <w:szCs w:val="24"/>
              </w:rPr>
              <w:t>:</w:t>
            </w:r>
            <w:r w:rsidRPr="009A32D4">
              <w:rPr>
                <w:szCs w:val="24"/>
              </w:rPr>
              <w:tab/>
              <w:t>………………...,</w:t>
            </w:r>
          </w:p>
          <w:p w14:paraId="3D03CD5E"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N° SIRET</w:t>
            </w:r>
            <w:r w:rsidRPr="009A32D4">
              <w:rPr>
                <w:b/>
                <w:bCs/>
                <w:szCs w:val="24"/>
              </w:rPr>
              <w:tab/>
            </w:r>
            <w:r w:rsidRPr="009A32D4">
              <w:rPr>
                <w:szCs w:val="24"/>
              </w:rPr>
              <w:t>:</w:t>
            </w:r>
            <w:r w:rsidRPr="009A32D4">
              <w:rPr>
                <w:szCs w:val="24"/>
              </w:rPr>
              <w:tab/>
              <w:t>………………...,</w:t>
            </w:r>
          </w:p>
          <w:p w14:paraId="55EA75F3"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Représentée par</w:t>
            </w:r>
            <w:r w:rsidRPr="00834559">
              <w:rPr>
                <w:rFonts w:ascii="Arial" w:eastAsia="Times" w:hAnsi="Arial"/>
                <w:sz w:val="20"/>
                <w:szCs w:val="24"/>
              </w:rPr>
              <w:tab/>
              <w:t>:</w:t>
            </w:r>
            <w:r w:rsidRPr="00834559">
              <w:rPr>
                <w:rFonts w:ascii="Arial" w:eastAsia="Times" w:hAnsi="Arial"/>
                <w:sz w:val="20"/>
                <w:szCs w:val="24"/>
              </w:rPr>
              <w:tab/>
              <w:t xml:space="preserve">………………..., </w:t>
            </w:r>
          </w:p>
          <w:p w14:paraId="1EBBCD36"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proofErr w:type="gramStart"/>
            <w:r w:rsidRPr="00834559">
              <w:rPr>
                <w:rFonts w:ascii="Arial" w:eastAsia="Times" w:hAnsi="Arial"/>
                <w:sz w:val="20"/>
                <w:szCs w:val="24"/>
              </w:rPr>
              <w:t>agissant</w:t>
            </w:r>
            <w:proofErr w:type="gramEnd"/>
            <w:r w:rsidRPr="00834559">
              <w:rPr>
                <w:rFonts w:ascii="Arial" w:eastAsia="Times" w:hAnsi="Arial"/>
                <w:sz w:val="20"/>
                <w:szCs w:val="24"/>
              </w:rPr>
              <w:t xml:space="preserve"> en qualité de ………………...</w:t>
            </w:r>
          </w:p>
          <w:p w14:paraId="25BC539B" w14:textId="77777777" w:rsidR="00F324F8" w:rsidRPr="008555F8" w:rsidRDefault="00F324F8" w:rsidP="007904F0">
            <w:pPr>
              <w:pStyle w:val="Retraitcorpsdetexte3"/>
              <w:tabs>
                <w:tab w:val="left" w:pos="1843"/>
                <w:tab w:val="left" w:pos="1985"/>
              </w:tabs>
              <w:spacing w:before="120" w:after="60"/>
              <w:ind w:left="1985" w:hanging="1985"/>
              <w:rPr>
                <w:sz w:val="24"/>
                <w:szCs w:val="24"/>
              </w:rPr>
            </w:pPr>
            <w:r w:rsidRPr="00834559">
              <w:rPr>
                <w:rFonts w:ascii="Arial" w:eastAsia="Times" w:hAnsi="Arial"/>
                <w:sz w:val="20"/>
                <w:szCs w:val="24"/>
              </w:rPr>
              <w:t>adresse de messagerie électronique :</w:t>
            </w:r>
          </w:p>
        </w:tc>
      </w:tr>
    </w:tbl>
    <w:p w14:paraId="65C35B15" w14:textId="77777777" w:rsidR="00F324F8" w:rsidRPr="009A32D4" w:rsidRDefault="00F324F8" w:rsidP="00F324F8">
      <w:pPr>
        <w:tabs>
          <w:tab w:val="left" w:pos="-1701"/>
          <w:tab w:val="left" w:pos="1800"/>
          <w:tab w:val="left" w:pos="1985"/>
          <w:tab w:val="left" w:pos="3400"/>
        </w:tabs>
        <w:ind w:left="1985" w:hanging="1985"/>
        <w:rPr>
          <w:szCs w:val="24"/>
        </w:rPr>
      </w:pP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F324F8" w:rsidRPr="009A32D4" w14:paraId="2855737F" w14:textId="77777777" w:rsidTr="0075771B">
        <w:tc>
          <w:tcPr>
            <w:tcW w:w="9747" w:type="dxa"/>
            <w:shd w:val="clear" w:color="auto" w:fill="auto"/>
          </w:tcPr>
          <w:p w14:paraId="128A2A0B" w14:textId="77777777" w:rsidR="00F324F8" w:rsidRPr="009A32D4" w:rsidRDefault="00F324F8" w:rsidP="007904F0">
            <w:pPr>
              <w:tabs>
                <w:tab w:val="left" w:pos="-1701"/>
                <w:tab w:val="left" w:pos="1800"/>
                <w:tab w:val="left" w:pos="1985"/>
                <w:tab w:val="left" w:pos="3400"/>
              </w:tabs>
              <w:spacing w:before="120"/>
              <w:ind w:left="1985" w:hanging="1985"/>
              <w:rPr>
                <w:szCs w:val="24"/>
              </w:rPr>
            </w:pPr>
            <w:r w:rsidRPr="009A32D4">
              <w:rPr>
                <w:szCs w:val="24"/>
              </w:rPr>
              <w:t xml:space="preserve">La société </w:t>
            </w:r>
            <w:r w:rsidRPr="009A32D4">
              <w:rPr>
                <w:szCs w:val="24"/>
              </w:rPr>
              <w:tab/>
              <w:t>:</w:t>
            </w:r>
            <w:r w:rsidRPr="009A32D4">
              <w:rPr>
                <w:szCs w:val="24"/>
              </w:rPr>
              <w:tab/>
              <w:t>………………...,</w:t>
            </w:r>
          </w:p>
          <w:p w14:paraId="597BB3AC"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Forme sociale</w:t>
            </w:r>
            <w:r w:rsidRPr="009A32D4">
              <w:rPr>
                <w:b/>
                <w:bCs/>
                <w:szCs w:val="24"/>
              </w:rPr>
              <w:tab/>
            </w:r>
            <w:r w:rsidRPr="009A32D4">
              <w:rPr>
                <w:szCs w:val="24"/>
              </w:rPr>
              <w:t>:</w:t>
            </w:r>
            <w:r w:rsidRPr="009A32D4">
              <w:rPr>
                <w:szCs w:val="24"/>
              </w:rPr>
              <w:tab/>
              <w:t>………………...,</w:t>
            </w:r>
          </w:p>
          <w:p w14:paraId="79A8B8DA"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Capital social</w:t>
            </w:r>
            <w:r w:rsidRPr="009C2FCB">
              <w:rPr>
                <w:szCs w:val="24"/>
              </w:rPr>
              <w:tab/>
            </w:r>
            <w:r w:rsidRPr="009A32D4">
              <w:rPr>
                <w:szCs w:val="24"/>
              </w:rPr>
              <w:t>:</w:t>
            </w:r>
            <w:r w:rsidRPr="009A32D4">
              <w:rPr>
                <w:szCs w:val="24"/>
              </w:rPr>
              <w:tab/>
              <w:t>………………...,</w:t>
            </w:r>
          </w:p>
          <w:p w14:paraId="58C88E90"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Siège social</w:t>
            </w:r>
            <w:r w:rsidRPr="009C2FCB">
              <w:rPr>
                <w:szCs w:val="24"/>
              </w:rPr>
              <w:tab/>
            </w:r>
            <w:r w:rsidRPr="009A32D4">
              <w:rPr>
                <w:szCs w:val="24"/>
              </w:rPr>
              <w:t>:</w:t>
            </w:r>
            <w:r w:rsidRPr="009A32D4">
              <w:rPr>
                <w:szCs w:val="24"/>
              </w:rPr>
              <w:tab/>
              <w:t>………………...,</w:t>
            </w:r>
          </w:p>
          <w:p w14:paraId="2111FE76"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N° SIRET</w:t>
            </w:r>
            <w:r w:rsidRPr="009C2FCB">
              <w:rPr>
                <w:szCs w:val="24"/>
              </w:rPr>
              <w:tab/>
            </w:r>
            <w:r w:rsidRPr="009A32D4">
              <w:rPr>
                <w:szCs w:val="24"/>
              </w:rPr>
              <w:t>:</w:t>
            </w:r>
            <w:r w:rsidRPr="009A32D4">
              <w:rPr>
                <w:szCs w:val="24"/>
              </w:rPr>
              <w:tab/>
              <w:t>………………...,</w:t>
            </w:r>
          </w:p>
          <w:p w14:paraId="4A5BA7AB"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Représentée par</w:t>
            </w:r>
            <w:r w:rsidRPr="00834559">
              <w:rPr>
                <w:rFonts w:ascii="Arial" w:eastAsia="Times" w:hAnsi="Arial"/>
                <w:sz w:val="20"/>
                <w:szCs w:val="24"/>
              </w:rPr>
              <w:tab/>
              <w:t>:</w:t>
            </w:r>
            <w:r w:rsidRPr="00834559">
              <w:rPr>
                <w:rFonts w:ascii="Arial" w:eastAsia="Times" w:hAnsi="Arial"/>
                <w:sz w:val="20"/>
                <w:szCs w:val="24"/>
              </w:rPr>
              <w:tab/>
              <w:t xml:space="preserve">………………..., </w:t>
            </w:r>
          </w:p>
          <w:p w14:paraId="393C2ACE"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proofErr w:type="gramStart"/>
            <w:r w:rsidRPr="00834559">
              <w:rPr>
                <w:rFonts w:ascii="Arial" w:eastAsia="Times" w:hAnsi="Arial"/>
                <w:sz w:val="20"/>
                <w:szCs w:val="24"/>
              </w:rPr>
              <w:t>agissant</w:t>
            </w:r>
            <w:proofErr w:type="gramEnd"/>
            <w:r w:rsidRPr="00834559">
              <w:rPr>
                <w:rFonts w:ascii="Arial" w:eastAsia="Times" w:hAnsi="Arial"/>
                <w:sz w:val="20"/>
                <w:szCs w:val="24"/>
              </w:rPr>
              <w:t xml:space="preserve"> en qualité de ………………...</w:t>
            </w:r>
          </w:p>
          <w:p w14:paraId="5442F8F3" w14:textId="77777777" w:rsidR="00F324F8" w:rsidRPr="008555F8" w:rsidRDefault="00F324F8" w:rsidP="007904F0">
            <w:pPr>
              <w:pStyle w:val="Retraitcorpsdetexte3"/>
              <w:tabs>
                <w:tab w:val="left" w:pos="1843"/>
                <w:tab w:val="left" w:pos="1985"/>
              </w:tabs>
              <w:spacing w:before="120" w:after="60"/>
              <w:ind w:left="1985" w:hanging="1985"/>
              <w:rPr>
                <w:sz w:val="24"/>
                <w:szCs w:val="24"/>
              </w:rPr>
            </w:pPr>
            <w:r w:rsidRPr="00834559">
              <w:rPr>
                <w:rFonts w:ascii="Arial" w:eastAsia="Times" w:hAnsi="Arial"/>
                <w:sz w:val="20"/>
                <w:szCs w:val="24"/>
              </w:rPr>
              <w:t>adresse de messagerie électronique :</w:t>
            </w:r>
          </w:p>
        </w:tc>
      </w:tr>
    </w:tbl>
    <w:p w14:paraId="713C9438" w14:textId="77777777" w:rsidR="0075771B" w:rsidRDefault="0075771B" w:rsidP="0075771B">
      <w:pPr>
        <w:rPr>
          <w:b/>
        </w:rPr>
      </w:pPr>
    </w:p>
    <w:p w14:paraId="3C0F1451" w14:textId="77777777" w:rsidR="00F324F8" w:rsidRPr="0075771B" w:rsidRDefault="00F324F8" w:rsidP="0075771B">
      <w:proofErr w:type="gramStart"/>
      <w:r w:rsidRPr="0075771B">
        <w:t>d’autre</w:t>
      </w:r>
      <w:proofErr w:type="gramEnd"/>
      <w:r w:rsidRPr="0075771B">
        <w:t xml:space="preserve"> part,</w:t>
      </w:r>
    </w:p>
    <w:p w14:paraId="298B3787" w14:textId="77777777" w:rsidR="0075771B" w:rsidRPr="009A32D4" w:rsidRDefault="0075771B" w:rsidP="0075771B"/>
    <w:p w14:paraId="5CDDF030" w14:textId="703978FB" w:rsidR="00F324F8" w:rsidRPr="0075771B" w:rsidRDefault="00F324F8" w:rsidP="0075771B">
      <w:proofErr w:type="gramStart"/>
      <w:r w:rsidRPr="0075771B">
        <w:t>les</w:t>
      </w:r>
      <w:proofErr w:type="gramEnd"/>
      <w:r w:rsidRPr="0075771B">
        <w:t xml:space="preserve"> sociétés ci-dessus, dénommées « le titulaire » dans les clauses qui vont suivre, la société </w:t>
      </w:r>
      <w:r w:rsidR="009949CF" w:rsidRPr="009949CF">
        <w:rPr>
          <w:i/>
        </w:rPr>
        <w:t>(à renseigner)</w:t>
      </w:r>
      <w:r w:rsidRPr="0075771B">
        <w:t>……………….., étant désignée comme « mandataire ».</w:t>
      </w:r>
    </w:p>
    <w:p w14:paraId="4954397A" w14:textId="41105BC1" w:rsidR="0075771B" w:rsidRDefault="0075771B" w:rsidP="0075771B"/>
    <w:p w14:paraId="3BBA69DF" w14:textId="77777777" w:rsidR="009949CF" w:rsidRPr="002B649C" w:rsidRDefault="009949CF" w:rsidP="009949CF">
      <w:pPr>
        <w:tabs>
          <w:tab w:val="left" w:pos="426"/>
          <w:tab w:val="left" w:pos="851"/>
        </w:tabs>
        <w:suppressAutoHyphens/>
        <w:rPr>
          <w:rFonts w:eastAsia="Times New Roman" w:cs="Arial"/>
          <w:b/>
          <w:lang w:eastAsia="zh-CN"/>
        </w:rPr>
      </w:pPr>
      <w:r w:rsidRPr="002B649C">
        <w:rPr>
          <w:rFonts w:eastAsia="Times New Roman" w:cs="Arial"/>
          <w:b/>
          <w:lang w:eastAsia="zh-CN"/>
        </w:rPr>
        <w:t xml:space="preserve">Pour </w:t>
      </w:r>
      <w:r w:rsidRPr="002B649C">
        <w:rPr>
          <w:rFonts w:eastAsia="Times New Roman" w:cs="Arial"/>
          <w:b/>
          <w:color w:val="000000" w:themeColor="text1"/>
          <w:lang w:eastAsia="zh-CN"/>
        </w:rPr>
        <w:t xml:space="preserve">l’exécution de l’accord-cadre, </w:t>
      </w:r>
      <w:r w:rsidRPr="002B649C">
        <w:rPr>
          <w:rFonts w:eastAsia="Times New Roman" w:cs="Arial"/>
          <w:b/>
          <w:lang w:eastAsia="zh-CN"/>
        </w:rPr>
        <w:t xml:space="preserve">le groupement d’opérateurs économiques est : </w:t>
      </w:r>
    </w:p>
    <w:p w14:paraId="797C614E" w14:textId="77777777" w:rsidR="009949CF" w:rsidRPr="002B649C" w:rsidRDefault="009949CF" w:rsidP="009949CF">
      <w:pPr>
        <w:tabs>
          <w:tab w:val="left" w:pos="426"/>
          <w:tab w:val="left" w:pos="851"/>
        </w:tabs>
        <w:suppressAutoHyphens/>
        <w:rPr>
          <w:rFonts w:eastAsia="Times New Roman" w:cs="Arial"/>
          <w:b/>
          <w:lang w:eastAsia="zh-CN"/>
        </w:rPr>
      </w:pPr>
    </w:p>
    <w:p w14:paraId="33ADF09D" w14:textId="77777777" w:rsidR="009949CF" w:rsidRPr="002B649C" w:rsidRDefault="009949CF" w:rsidP="009949CF">
      <w:pPr>
        <w:tabs>
          <w:tab w:val="left" w:pos="426"/>
        </w:tabs>
        <w:suppressAutoHyphens/>
        <w:ind w:left="709"/>
        <w:rPr>
          <w:rFonts w:eastAsia="Times New Roman" w:cs="Arial"/>
          <w:b/>
          <w:lang w:eastAsia="zh-CN"/>
        </w:rPr>
      </w:pPr>
      <w:r w:rsidRPr="002B649C">
        <w:rPr>
          <w:rFonts w:eastAsia="Times New Roman" w:cs="Arial"/>
          <w:b/>
          <w:lang w:eastAsia="zh-CN"/>
        </w:rPr>
        <w:fldChar w:fldCharType="begin">
          <w:ffData>
            <w:name w:val=""/>
            <w:enabled/>
            <w:calcOnExit w:val="0"/>
            <w:checkBox>
              <w:size w:val="20"/>
              <w:default w:val="0"/>
            </w:checkBox>
          </w:ffData>
        </w:fldChar>
      </w:r>
      <w:r w:rsidRPr="002B649C">
        <w:rPr>
          <w:rFonts w:eastAsia="Times New Roman" w:cs="Arial"/>
          <w:b/>
          <w:lang w:eastAsia="zh-CN"/>
        </w:rPr>
        <w:instrText xml:space="preserve"> FORMCHECKBOX </w:instrText>
      </w:r>
      <w:r w:rsidR="008966A8">
        <w:rPr>
          <w:rFonts w:eastAsia="Times New Roman" w:cs="Arial"/>
          <w:b/>
          <w:lang w:eastAsia="zh-CN"/>
        </w:rPr>
      </w:r>
      <w:r w:rsidR="008966A8">
        <w:rPr>
          <w:rFonts w:eastAsia="Times New Roman" w:cs="Arial"/>
          <w:b/>
          <w:lang w:eastAsia="zh-CN"/>
        </w:rPr>
        <w:fldChar w:fldCharType="separate"/>
      </w:r>
      <w:r w:rsidRPr="002B649C">
        <w:rPr>
          <w:rFonts w:eastAsia="Times New Roman" w:cs="Arial"/>
          <w:b/>
          <w:lang w:eastAsia="zh-CN"/>
        </w:rPr>
        <w:fldChar w:fldCharType="end"/>
      </w:r>
      <w:r w:rsidRPr="002B649C">
        <w:rPr>
          <w:rFonts w:eastAsia="Times New Roman" w:cs="Arial"/>
          <w:b/>
          <w:i/>
          <w:iCs/>
          <w:lang w:eastAsia="zh-CN"/>
        </w:rPr>
        <w:t xml:space="preserve"> </w:t>
      </w:r>
      <w:r w:rsidRPr="002B649C">
        <w:rPr>
          <w:rFonts w:eastAsia="Times New Roman" w:cs="Arial"/>
          <w:b/>
          <w:lang w:eastAsia="zh-CN"/>
        </w:rPr>
        <w:t>conjoint</w:t>
      </w:r>
      <w:r w:rsidRPr="002B649C">
        <w:rPr>
          <w:rFonts w:eastAsia="Times New Roman" w:cs="Arial"/>
          <w:b/>
          <w:lang w:eastAsia="zh-CN"/>
        </w:rPr>
        <w:tab/>
      </w:r>
      <w:r w:rsidRPr="002B649C">
        <w:rPr>
          <w:rFonts w:eastAsia="Times New Roman" w:cs="Arial"/>
          <w:b/>
          <w:lang w:eastAsia="zh-CN"/>
        </w:rPr>
        <w:tab/>
        <w:t>OU</w:t>
      </w:r>
      <w:r w:rsidRPr="002B649C">
        <w:rPr>
          <w:rFonts w:eastAsia="Times New Roman" w:cs="Arial"/>
          <w:b/>
          <w:lang w:eastAsia="zh-CN"/>
        </w:rPr>
        <w:tab/>
      </w:r>
      <w:r w:rsidRPr="002B649C">
        <w:rPr>
          <w:rFonts w:eastAsia="Times New Roman" w:cs="Arial"/>
          <w:b/>
          <w:lang w:eastAsia="zh-CN"/>
        </w:rPr>
        <w:tab/>
      </w:r>
      <w:r w:rsidRPr="002B649C">
        <w:rPr>
          <w:rFonts w:eastAsia="Times New Roman" w:cs="Arial"/>
          <w:b/>
          <w:lang w:eastAsia="zh-CN"/>
        </w:rPr>
        <w:fldChar w:fldCharType="begin">
          <w:ffData>
            <w:name w:val=""/>
            <w:enabled/>
            <w:calcOnExit w:val="0"/>
            <w:checkBox>
              <w:size w:val="20"/>
              <w:default w:val="0"/>
            </w:checkBox>
          </w:ffData>
        </w:fldChar>
      </w:r>
      <w:r w:rsidRPr="002B649C">
        <w:rPr>
          <w:rFonts w:eastAsia="Times New Roman" w:cs="Arial"/>
          <w:b/>
          <w:lang w:eastAsia="zh-CN"/>
        </w:rPr>
        <w:instrText xml:space="preserve"> FORMCHECKBOX </w:instrText>
      </w:r>
      <w:r w:rsidR="008966A8">
        <w:rPr>
          <w:rFonts w:eastAsia="Times New Roman" w:cs="Arial"/>
          <w:b/>
          <w:lang w:eastAsia="zh-CN"/>
        </w:rPr>
      </w:r>
      <w:r w:rsidR="008966A8">
        <w:rPr>
          <w:rFonts w:eastAsia="Times New Roman" w:cs="Arial"/>
          <w:b/>
          <w:lang w:eastAsia="zh-CN"/>
        </w:rPr>
        <w:fldChar w:fldCharType="separate"/>
      </w:r>
      <w:r w:rsidRPr="002B649C">
        <w:rPr>
          <w:rFonts w:eastAsia="Times New Roman" w:cs="Arial"/>
          <w:b/>
          <w:lang w:eastAsia="zh-CN"/>
        </w:rPr>
        <w:fldChar w:fldCharType="end"/>
      </w:r>
      <w:r w:rsidRPr="002B649C">
        <w:rPr>
          <w:rFonts w:eastAsia="Times New Roman" w:cs="Arial"/>
          <w:b/>
          <w:iCs/>
          <w:lang w:eastAsia="zh-CN"/>
        </w:rPr>
        <w:t xml:space="preserve"> </w:t>
      </w:r>
      <w:r w:rsidRPr="002B649C">
        <w:rPr>
          <w:rFonts w:eastAsia="Times New Roman" w:cs="Arial"/>
          <w:b/>
          <w:lang w:eastAsia="zh-CN"/>
        </w:rPr>
        <w:t>solidaire</w:t>
      </w:r>
    </w:p>
    <w:p w14:paraId="7F5BAE73" w14:textId="05DC44B3" w:rsidR="009949CF" w:rsidRDefault="009949CF" w:rsidP="0075771B"/>
    <w:p w14:paraId="6E444930" w14:textId="77777777" w:rsidR="009949CF" w:rsidRPr="0075771B" w:rsidRDefault="009949CF" w:rsidP="0075771B"/>
    <w:p w14:paraId="3F2DE792" w14:textId="3CB14273" w:rsidR="00F324F8" w:rsidRDefault="00F324F8" w:rsidP="0075771B">
      <w:r w:rsidRPr="0075771B">
        <w:t xml:space="preserve">Les </w:t>
      </w:r>
      <w:r w:rsidR="00E04EE3">
        <w:t>membres du groupement</w:t>
      </w:r>
      <w:r w:rsidRPr="0075771B">
        <w:t xml:space="preserve">, après avoir pris connaissance de toutes les pièces </w:t>
      </w:r>
      <w:r w:rsidR="0037147F">
        <w:t>de l’accord-cadre</w:t>
      </w:r>
      <w:r w:rsidRPr="0075771B">
        <w:t xml:space="preserve"> et après avoir apprécié la nature et l’importance des prestations à réaliser, s’engagent envers la personne publique, qui les accepte, à les exécuter conformément aux stipulations du présent </w:t>
      </w:r>
      <w:r w:rsidR="004735BC">
        <w:t>accord-cadre</w:t>
      </w:r>
      <w:r w:rsidRPr="0075771B">
        <w:t>.</w:t>
      </w:r>
    </w:p>
    <w:p w14:paraId="5F19953E" w14:textId="77777777" w:rsidR="0075771B" w:rsidRDefault="0075771B" w:rsidP="0075771B"/>
    <w:tbl>
      <w:tblPr>
        <w:tblStyle w:val="Grilledutableau"/>
        <w:tblW w:w="0" w:type="auto"/>
        <w:tblLook w:val="04A0" w:firstRow="1" w:lastRow="0" w:firstColumn="1" w:lastColumn="0" w:noHBand="0" w:noVBand="1"/>
      </w:tblPr>
      <w:tblGrid>
        <w:gridCol w:w="9968"/>
      </w:tblGrid>
      <w:tr w:rsidR="0075771B" w14:paraId="773E13CE" w14:textId="77777777" w:rsidTr="0075771B">
        <w:trPr>
          <w:trHeight w:val="5669"/>
        </w:trPr>
        <w:tc>
          <w:tcPr>
            <w:tcW w:w="9968" w:type="dxa"/>
          </w:tcPr>
          <w:p w14:paraId="737F571E" w14:textId="77777777" w:rsidR="0075771B" w:rsidRDefault="0075771B" w:rsidP="0075771B">
            <w:r w:rsidRPr="0075771B">
              <w:lastRenderedPageBreak/>
              <w:t>(Relevé d’identité bancaire –RIB - ou postal – RIP- à coller ci-dessous pour le titulaire / mandataire)</w:t>
            </w:r>
          </w:p>
        </w:tc>
      </w:tr>
    </w:tbl>
    <w:p w14:paraId="238AB40F" w14:textId="77777777" w:rsidR="0075771B" w:rsidRPr="0075771B" w:rsidRDefault="0075771B" w:rsidP="0075771B"/>
    <w:p w14:paraId="1B2A5E6C" w14:textId="77777777" w:rsidR="00F324F8" w:rsidRDefault="00F324F8" w:rsidP="0075771B">
      <w:pPr>
        <w:rPr>
          <w:b/>
        </w:rPr>
      </w:pPr>
    </w:p>
    <w:tbl>
      <w:tblPr>
        <w:tblStyle w:val="Grilledutableau"/>
        <w:tblW w:w="0" w:type="auto"/>
        <w:tblLook w:val="04A0" w:firstRow="1" w:lastRow="0" w:firstColumn="1" w:lastColumn="0" w:noHBand="0" w:noVBand="1"/>
      </w:tblPr>
      <w:tblGrid>
        <w:gridCol w:w="9968"/>
      </w:tblGrid>
      <w:tr w:rsidR="0075771B" w14:paraId="7B942305" w14:textId="77777777" w:rsidTr="0075771B">
        <w:trPr>
          <w:trHeight w:val="5669"/>
        </w:trPr>
        <w:tc>
          <w:tcPr>
            <w:tcW w:w="9968" w:type="dxa"/>
          </w:tcPr>
          <w:p w14:paraId="437506D6" w14:textId="65FDDF00" w:rsidR="0075771B" w:rsidRDefault="0075771B" w:rsidP="00B616B4">
            <w:r w:rsidRPr="0075771B">
              <w:t xml:space="preserve">(Relevé d’identité bancaire –RIB - ou postal – RIP- à coller ci-dessous pour le </w:t>
            </w:r>
            <w:r w:rsidR="00B616B4">
              <w:t>membre du groupement</w:t>
            </w:r>
            <w:r w:rsidRPr="0075771B">
              <w:t>)</w:t>
            </w:r>
          </w:p>
        </w:tc>
      </w:tr>
    </w:tbl>
    <w:p w14:paraId="7D106A81" w14:textId="77777777" w:rsidR="00E85775" w:rsidRDefault="00E85775" w:rsidP="00C7548A"/>
    <w:p w14:paraId="79D2C215" w14:textId="77777777" w:rsidR="00E85775" w:rsidRDefault="00E85775" w:rsidP="00C7548A"/>
    <w:p w14:paraId="256C9D23" w14:textId="77777777" w:rsidR="00965E92" w:rsidRDefault="00965E92" w:rsidP="00C7548A"/>
    <w:p w14:paraId="52D504C8" w14:textId="77777777" w:rsidR="00965E92" w:rsidRDefault="00965E92" w:rsidP="00C7548A"/>
    <w:p w14:paraId="512547EB" w14:textId="77777777" w:rsidR="00965E92" w:rsidRDefault="00965E92" w:rsidP="00C7548A"/>
    <w:p w14:paraId="1E44E55B" w14:textId="77777777" w:rsidR="00965E92" w:rsidRDefault="00965E92" w:rsidP="00C7548A"/>
    <w:p w14:paraId="541F8583" w14:textId="77777777" w:rsidR="00965E92" w:rsidRDefault="00965E92" w:rsidP="00C7548A"/>
    <w:p w14:paraId="5851C7EF" w14:textId="77777777" w:rsidR="00965E92" w:rsidRDefault="00965E92" w:rsidP="00C7548A"/>
    <w:p w14:paraId="546FF164" w14:textId="77777777" w:rsidR="00965E92" w:rsidRDefault="00965E92" w:rsidP="00C7548A"/>
    <w:p w14:paraId="658C73CD" w14:textId="77777777" w:rsidR="0075771B" w:rsidRDefault="0075771B">
      <w:pPr>
        <w:jc w:val="left"/>
        <w:rPr>
          <w:b/>
          <w:sz w:val="32"/>
          <w:szCs w:val="32"/>
        </w:rPr>
      </w:pPr>
      <w:bookmarkStart w:id="0" w:name="_Toc293670162"/>
      <w:r>
        <w:rPr>
          <w:b/>
          <w:sz w:val="32"/>
          <w:szCs w:val="32"/>
        </w:rPr>
        <w:br w:type="page"/>
      </w:r>
    </w:p>
    <w:p w14:paraId="58435D95" w14:textId="1A1AB21C" w:rsidR="00E85775" w:rsidRPr="003F04FC" w:rsidRDefault="00E85775" w:rsidP="003F04FC">
      <w:pPr>
        <w:jc w:val="center"/>
        <w:rPr>
          <w:b/>
          <w:sz w:val="32"/>
          <w:szCs w:val="32"/>
        </w:rPr>
      </w:pPr>
      <w:r w:rsidRPr="003F04FC">
        <w:rPr>
          <w:b/>
          <w:sz w:val="32"/>
          <w:szCs w:val="32"/>
        </w:rPr>
        <w:lastRenderedPageBreak/>
        <w:t>SOMMAIRE</w:t>
      </w:r>
    </w:p>
    <w:p w14:paraId="2B69FC5D" w14:textId="77777777" w:rsidR="00096ED4" w:rsidRDefault="00096ED4" w:rsidP="00C7548A"/>
    <w:p w14:paraId="7C3D42DE" w14:textId="609B0DFC" w:rsidR="00A43E67" w:rsidRDefault="008B0309">
      <w:pPr>
        <w:pStyle w:val="TM1"/>
        <w:rPr>
          <w:rFonts w:asciiTheme="minorHAnsi" w:eastAsiaTheme="minorEastAsia" w:hAnsiTheme="minorHAnsi" w:cstheme="minorBidi"/>
          <w:b w:val="0"/>
          <w:bCs w:val="0"/>
          <w:caps w:val="0"/>
          <w:noProof/>
          <w:sz w:val="22"/>
          <w:szCs w:val="22"/>
        </w:rPr>
      </w:pPr>
      <w:r>
        <w:fldChar w:fldCharType="begin"/>
      </w:r>
      <w:r>
        <w:instrText xml:space="preserve"> TOC \o "1-3" \u </w:instrText>
      </w:r>
      <w:r>
        <w:fldChar w:fldCharType="separate"/>
      </w:r>
      <w:r w:rsidR="00A43E67" w:rsidRPr="00705324">
        <w:rPr>
          <w:rFonts w:ascii="Arial" w:hAnsi="Arial" w:cs="Arial"/>
          <w:noProof/>
        </w:rPr>
        <w:t>ARTICLE 1 – PIÈCES CONTRACTUELLES.</w:t>
      </w:r>
      <w:r w:rsidR="00A43E67">
        <w:rPr>
          <w:noProof/>
        </w:rPr>
        <w:tab/>
      </w:r>
      <w:r w:rsidR="00A43E67">
        <w:rPr>
          <w:noProof/>
        </w:rPr>
        <w:fldChar w:fldCharType="begin"/>
      </w:r>
      <w:r w:rsidR="00A43E67">
        <w:rPr>
          <w:noProof/>
        </w:rPr>
        <w:instrText xml:space="preserve"> PAGEREF _Toc207979725 \h </w:instrText>
      </w:r>
      <w:r w:rsidR="00A43E67">
        <w:rPr>
          <w:noProof/>
        </w:rPr>
      </w:r>
      <w:r w:rsidR="00A43E67">
        <w:rPr>
          <w:noProof/>
        </w:rPr>
        <w:fldChar w:fldCharType="separate"/>
      </w:r>
      <w:r w:rsidR="00A43E67">
        <w:rPr>
          <w:noProof/>
        </w:rPr>
        <w:t>6</w:t>
      </w:r>
      <w:r w:rsidR="00A43E67">
        <w:rPr>
          <w:noProof/>
        </w:rPr>
        <w:fldChar w:fldCharType="end"/>
      </w:r>
    </w:p>
    <w:p w14:paraId="553B3C74" w14:textId="1ACB8DB0"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2 - OBJET DE L’ACCORD-CADRE.</w:t>
      </w:r>
      <w:r>
        <w:rPr>
          <w:noProof/>
        </w:rPr>
        <w:tab/>
      </w:r>
      <w:r>
        <w:rPr>
          <w:noProof/>
        </w:rPr>
        <w:fldChar w:fldCharType="begin"/>
      </w:r>
      <w:r>
        <w:rPr>
          <w:noProof/>
        </w:rPr>
        <w:instrText xml:space="preserve"> PAGEREF _Toc207979726 \h </w:instrText>
      </w:r>
      <w:r>
        <w:rPr>
          <w:noProof/>
        </w:rPr>
      </w:r>
      <w:r>
        <w:rPr>
          <w:noProof/>
        </w:rPr>
        <w:fldChar w:fldCharType="separate"/>
      </w:r>
      <w:r>
        <w:rPr>
          <w:noProof/>
        </w:rPr>
        <w:t>6</w:t>
      </w:r>
      <w:r>
        <w:rPr>
          <w:noProof/>
        </w:rPr>
        <w:fldChar w:fldCharType="end"/>
      </w:r>
    </w:p>
    <w:p w14:paraId="5C8B0714" w14:textId="51551F75"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3 – DURÉE ET DÉLAIS D’EXÉCUTION DE L’ACCORD-CADRE</w:t>
      </w:r>
      <w:r>
        <w:rPr>
          <w:noProof/>
        </w:rPr>
        <w:tab/>
      </w:r>
      <w:r>
        <w:rPr>
          <w:noProof/>
        </w:rPr>
        <w:fldChar w:fldCharType="begin"/>
      </w:r>
      <w:r>
        <w:rPr>
          <w:noProof/>
        </w:rPr>
        <w:instrText xml:space="preserve"> PAGEREF _Toc207979727 \h </w:instrText>
      </w:r>
      <w:r>
        <w:rPr>
          <w:noProof/>
        </w:rPr>
      </w:r>
      <w:r>
        <w:rPr>
          <w:noProof/>
        </w:rPr>
        <w:fldChar w:fldCharType="separate"/>
      </w:r>
      <w:r>
        <w:rPr>
          <w:noProof/>
        </w:rPr>
        <w:t>6</w:t>
      </w:r>
      <w:r>
        <w:rPr>
          <w:noProof/>
        </w:rPr>
        <w:fldChar w:fldCharType="end"/>
      </w:r>
    </w:p>
    <w:p w14:paraId="5C9B7B68" w14:textId="5C1178A6" w:rsidR="00A43E67" w:rsidRDefault="00A43E67">
      <w:pPr>
        <w:pStyle w:val="TM2"/>
        <w:rPr>
          <w:rFonts w:eastAsiaTheme="minorEastAsia" w:cstheme="minorBidi"/>
          <w:b w:val="0"/>
          <w:bCs w:val="0"/>
          <w:noProof/>
          <w:sz w:val="22"/>
          <w:szCs w:val="22"/>
        </w:rPr>
      </w:pPr>
      <w:r>
        <w:rPr>
          <w:noProof/>
        </w:rPr>
        <w:t xml:space="preserve">3.1. </w:t>
      </w:r>
      <w:r w:rsidRPr="00705324">
        <w:rPr>
          <w:noProof/>
        </w:rPr>
        <w:t>Forme de l’</w:t>
      </w:r>
      <w:r>
        <w:rPr>
          <w:noProof/>
        </w:rPr>
        <w:t>accord-cadre.</w:t>
      </w:r>
      <w:r>
        <w:rPr>
          <w:noProof/>
        </w:rPr>
        <w:tab/>
      </w:r>
      <w:r>
        <w:rPr>
          <w:noProof/>
        </w:rPr>
        <w:fldChar w:fldCharType="begin"/>
      </w:r>
      <w:r>
        <w:rPr>
          <w:noProof/>
        </w:rPr>
        <w:instrText xml:space="preserve"> PAGEREF _Toc207979728 \h </w:instrText>
      </w:r>
      <w:r>
        <w:rPr>
          <w:noProof/>
        </w:rPr>
      </w:r>
      <w:r>
        <w:rPr>
          <w:noProof/>
        </w:rPr>
        <w:fldChar w:fldCharType="separate"/>
      </w:r>
      <w:r>
        <w:rPr>
          <w:noProof/>
        </w:rPr>
        <w:t>6</w:t>
      </w:r>
      <w:r>
        <w:rPr>
          <w:noProof/>
        </w:rPr>
        <w:fldChar w:fldCharType="end"/>
      </w:r>
    </w:p>
    <w:p w14:paraId="53DA2942" w14:textId="6D7B583D" w:rsidR="00A43E67" w:rsidRDefault="00A43E67">
      <w:pPr>
        <w:pStyle w:val="TM2"/>
        <w:rPr>
          <w:rFonts w:eastAsiaTheme="minorEastAsia" w:cstheme="minorBidi"/>
          <w:b w:val="0"/>
          <w:bCs w:val="0"/>
          <w:noProof/>
          <w:sz w:val="22"/>
          <w:szCs w:val="22"/>
        </w:rPr>
      </w:pPr>
      <w:r>
        <w:rPr>
          <w:noProof/>
        </w:rPr>
        <w:t>3.</w:t>
      </w:r>
      <w:r w:rsidRPr="00705324">
        <w:rPr>
          <w:noProof/>
        </w:rPr>
        <w:t>2</w:t>
      </w:r>
      <w:r>
        <w:rPr>
          <w:noProof/>
        </w:rPr>
        <w:t xml:space="preserve">. Durée </w:t>
      </w:r>
      <w:r w:rsidRPr="00705324">
        <w:rPr>
          <w:noProof/>
        </w:rPr>
        <w:t>de validité de l’</w:t>
      </w:r>
      <w:r>
        <w:rPr>
          <w:noProof/>
        </w:rPr>
        <w:t>accord-cadre.</w:t>
      </w:r>
      <w:r>
        <w:rPr>
          <w:noProof/>
        </w:rPr>
        <w:tab/>
      </w:r>
      <w:r>
        <w:rPr>
          <w:noProof/>
        </w:rPr>
        <w:fldChar w:fldCharType="begin"/>
      </w:r>
      <w:r>
        <w:rPr>
          <w:noProof/>
        </w:rPr>
        <w:instrText xml:space="preserve"> PAGEREF _Toc207979729 \h </w:instrText>
      </w:r>
      <w:r>
        <w:rPr>
          <w:noProof/>
        </w:rPr>
      </w:r>
      <w:r>
        <w:rPr>
          <w:noProof/>
        </w:rPr>
        <w:fldChar w:fldCharType="separate"/>
      </w:r>
      <w:r>
        <w:rPr>
          <w:noProof/>
        </w:rPr>
        <w:t>6</w:t>
      </w:r>
      <w:r>
        <w:rPr>
          <w:noProof/>
        </w:rPr>
        <w:fldChar w:fldCharType="end"/>
      </w:r>
    </w:p>
    <w:p w14:paraId="736DB911" w14:textId="73AD7E67" w:rsidR="00A43E67" w:rsidRDefault="00A43E67">
      <w:pPr>
        <w:pStyle w:val="TM2"/>
        <w:rPr>
          <w:rFonts w:eastAsiaTheme="minorEastAsia" w:cstheme="minorBidi"/>
          <w:b w:val="0"/>
          <w:bCs w:val="0"/>
          <w:noProof/>
          <w:sz w:val="22"/>
          <w:szCs w:val="22"/>
        </w:rPr>
      </w:pPr>
      <w:r>
        <w:rPr>
          <w:noProof/>
        </w:rPr>
        <w:t>3.</w:t>
      </w:r>
      <w:r w:rsidRPr="00705324">
        <w:rPr>
          <w:noProof/>
        </w:rPr>
        <w:t>3</w:t>
      </w:r>
      <w:r>
        <w:rPr>
          <w:noProof/>
        </w:rPr>
        <w:t>. Durée maximum d’exécution des bons de commande.</w:t>
      </w:r>
      <w:r>
        <w:rPr>
          <w:noProof/>
        </w:rPr>
        <w:tab/>
      </w:r>
      <w:r>
        <w:rPr>
          <w:noProof/>
        </w:rPr>
        <w:fldChar w:fldCharType="begin"/>
      </w:r>
      <w:r>
        <w:rPr>
          <w:noProof/>
        </w:rPr>
        <w:instrText xml:space="preserve"> PAGEREF _Toc207979730 \h </w:instrText>
      </w:r>
      <w:r>
        <w:rPr>
          <w:noProof/>
        </w:rPr>
      </w:r>
      <w:r>
        <w:rPr>
          <w:noProof/>
        </w:rPr>
        <w:fldChar w:fldCharType="separate"/>
      </w:r>
      <w:r>
        <w:rPr>
          <w:noProof/>
        </w:rPr>
        <w:t>6</w:t>
      </w:r>
      <w:r>
        <w:rPr>
          <w:noProof/>
        </w:rPr>
        <w:fldChar w:fldCharType="end"/>
      </w:r>
    </w:p>
    <w:p w14:paraId="5361B730" w14:textId="0D93A61E" w:rsidR="00A43E67" w:rsidRDefault="00A43E67">
      <w:pPr>
        <w:pStyle w:val="TM2"/>
        <w:rPr>
          <w:rFonts w:eastAsiaTheme="minorEastAsia" w:cstheme="minorBidi"/>
          <w:b w:val="0"/>
          <w:bCs w:val="0"/>
          <w:noProof/>
          <w:sz w:val="22"/>
          <w:szCs w:val="22"/>
        </w:rPr>
      </w:pPr>
      <w:r>
        <w:rPr>
          <w:noProof/>
        </w:rPr>
        <w:t>3.</w:t>
      </w:r>
      <w:r w:rsidRPr="00705324">
        <w:rPr>
          <w:noProof/>
        </w:rPr>
        <w:t>4</w:t>
      </w:r>
      <w:r>
        <w:rPr>
          <w:noProof/>
        </w:rPr>
        <w:t>. Modalité d'émission des bons de commande.</w:t>
      </w:r>
      <w:r>
        <w:rPr>
          <w:noProof/>
        </w:rPr>
        <w:tab/>
      </w:r>
      <w:r>
        <w:rPr>
          <w:noProof/>
        </w:rPr>
        <w:fldChar w:fldCharType="begin"/>
      </w:r>
      <w:r>
        <w:rPr>
          <w:noProof/>
        </w:rPr>
        <w:instrText xml:space="preserve"> PAGEREF _Toc207979731 \h </w:instrText>
      </w:r>
      <w:r>
        <w:rPr>
          <w:noProof/>
        </w:rPr>
      </w:r>
      <w:r>
        <w:rPr>
          <w:noProof/>
        </w:rPr>
        <w:fldChar w:fldCharType="separate"/>
      </w:r>
      <w:r>
        <w:rPr>
          <w:noProof/>
        </w:rPr>
        <w:t>6</w:t>
      </w:r>
      <w:r>
        <w:rPr>
          <w:noProof/>
        </w:rPr>
        <w:fldChar w:fldCharType="end"/>
      </w:r>
    </w:p>
    <w:p w14:paraId="66BD8992" w14:textId="4583D205" w:rsidR="00A43E67" w:rsidRDefault="00A43E67">
      <w:pPr>
        <w:pStyle w:val="TM2"/>
        <w:rPr>
          <w:rFonts w:eastAsiaTheme="minorEastAsia" w:cstheme="minorBidi"/>
          <w:b w:val="0"/>
          <w:bCs w:val="0"/>
          <w:noProof/>
          <w:sz w:val="22"/>
          <w:szCs w:val="22"/>
        </w:rPr>
      </w:pPr>
      <w:r w:rsidRPr="00705324">
        <w:rPr>
          <w:rFonts w:eastAsia="Times New Roman" w:cs="Arial"/>
          <w:noProof/>
          <w:lang w:val="x-none" w:eastAsia="x-none"/>
        </w:rPr>
        <w:t>3.</w:t>
      </w:r>
      <w:r w:rsidRPr="00705324">
        <w:rPr>
          <w:rFonts w:eastAsia="Times New Roman" w:cs="Arial"/>
          <w:noProof/>
          <w:lang w:eastAsia="x-none"/>
        </w:rPr>
        <w:t>5</w:t>
      </w:r>
      <w:r w:rsidRPr="00705324">
        <w:rPr>
          <w:rFonts w:eastAsia="Times New Roman" w:cs="Arial"/>
          <w:noProof/>
          <w:lang w:val="x-none" w:eastAsia="x-none"/>
        </w:rPr>
        <w:t>. Neutralisation de périodes.</w:t>
      </w:r>
      <w:r>
        <w:rPr>
          <w:noProof/>
        </w:rPr>
        <w:tab/>
      </w:r>
      <w:r>
        <w:rPr>
          <w:noProof/>
        </w:rPr>
        <w:fldChar w:fldCharType="begin"/>
      </w:r>
      <w:r>
        <w:rPr>
          <w:noProof/>
        </w:rPr>
        <w:instrText xml:space="preserve"> PAGEREF _Toc207979732 \h </w:instrText>
      </w:r>
      <w:r>
        <w:rPr>
          <w:noProof/>
        </w:rPr>
      </w:r>
      <w:r>
        <w:rPr>
          <w:noProof/>
        </w:rPr>
        <w:fldChar w:fldCharType="separate"/>
      </w:r>
      <w:r>
        <w:rPr>
          <w:noProof/>
        </w:rPr>
        <w:t>7</w:t>
      </w:r>
      <w:r>
        <w:rPr>
          <w:noProof/>
        </w:rPr>
        <w:fldChar w:fldCharType="end"/>
      </w:r>
    </w:p>
    <w:p w14:paraId="10539DC7" w14:textId="57FABAE1"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4 – MONTANTS DE L’ACCORD-CADRE</w:t>
      </w:r>
      <w:bookmarkStart w:id="1" w:name="_GoBack"/>
      <w:bookmarkEnd w:id="1"/>
      <w:r w:rsidRPr="00705324">
        <w:rPr>
          <w:rFonts w:ascii="Arial" w:hAnsi="Arial" w:cs="Arial"/>
          <w:noProof/>
        </w:rPr>
        <w:t xml:space="preserve"> ET DÉLAIS D’EXÉCUTION.</w:t>
      </w:r>
      <w:r>
        <w:rPr>
          <w:noProof/>
        </w:rPr>
        <w:tab/>
      </w:r>
      <w:r>
        <w:rPr>
          <w:noProof/>
        </w:rPr>
        <w:fldChar w:fldCharType="begin"/>
      </w:r>
      <w:r>
        <w:rPr>
          <w:noProof/>
        </w:rPr>
        <w:instrText xml:space="preserve"> PAGEREF _Toc207979733 \h </w:instrText>
      </w:r>
      <w:r>
        <w:rPr>
          <w:noProof/>
        </w:rPr>
      </w:r>
      <w:r>
        <w:rPr>
          <w:noProof/>
        </w:rPr>
        <w:fldChar w:fldCharType="separate"/>
      </w:r>
      <w:r>
        <w:rPr>
          <w:noProof/>
        </w:rPr>
        <w:t>7</w:t>
      </w:r>
      <w:r>
        <w:rPr>
          <w:noProof/>
        </w:rPr>
        <w:fldChar w:fldCharType="end"/>
      </w:r>
    </w:p>
    <w:p w14:paraId="72D898CE" w14:textId="1A585AC4"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5 – CORRESPONDANTS DES PARTIES.</w:t>
      </w:r>
      <w:r>
        <w:rPr>
          <w:noProof/>
        </w:rPr>
        <w:tab/>
      </w:r>
      <w:r>
        <w:rPr>
          <w:noProof/>
        </w:rPr>
        <w:fldChar w:fldCharType="begin"/>
      </w:r>
      <w:r>
        <w:rPr>
          <w:noProof/>
        </w:rPr>
        <w:instrText xml:space="preserve"> PAGEREF _Toc207979734 \h </w:instrText>
      </w:r>
      <w:r>
        <w:rPr>
          <w:noProof/>
        </w:rPr>
      </w:r>
      <w:r>
        <w:rPr>
          <w:noProof/>
        </w:rPr>
        <w:fldChar w:fldCharType="separate"/>
      </w:r>
      <w:r>
        <w:rPr>
          <w:noProof/>
        </w:rPr>
        <w:t>8</w:t>
      </w:r>
      <w:r>
        <w:rPr>
          <w:noProof/>
        </w:rPr>
        <w:fldChar w:fldCharType="end"/>
      </w:r>
    </w:p>
    <w:p w14:paraId="7A6B1BE8" w14:textId="0A9BFFCE" w:rsidR="00A43E67" w:rsidRDefault="00A43E67">
      <w:pPr>
        <w:pStyle w:val="TM2"/>
        <w:rPr>
          <w:rFonts w:eastAsiaTheme="minorEastAsia" w:cstheme="minorBidi"/>
          <w:b w:val="0"/>
          <w:bCs w:val="0"/>
          <w:noProof/>
          <w:sz w:val="22"/>
          <w:szCs w:val="22"/>
        </w:rPr>
      </w:pPr>
      <w:r>
        <w:rPr>
          <w:noProof/>
        </w:rPr>
        <w:t xml:space="preserve">5.1. Représentation </w:t>
      </w:r>
      <w:r w:rsidRPr="00705324">
        <w:rPr>
          <w:noProof/>
        </w:rPr>
        <w:t>de la personne publique</w:t>
      </w:r>
      <w:r>
        <w:rPr>
          <w:noProof/>
        </w:rPr>
        <w:t>.</w:t>
      </w:r>
      <w:r>
        <w:rPr>
          <w:noProof/>
        </w:rPr>
        <w:tab/>
      </w:r>
      <w:r>
        <w:rPr>
          <w:noProof/>
        </w:rPr>
        <w:fldChar w:fldCharType="begin"/>
      </w:r>
      <w:r>
        <w:rPr>
          <w:noProof/>
        </w:rPr>
        <w:instrText xml:space="preserve"> PAGEREF _Toc207979735 \h </w:instrText>
      </w:r>
      <w:r>
        <w:rPr>
          <w:noProof/>
        </w:rPr>
      </w:r>
      <w:r>
        <w:rPr>
          <w:noProof/>
        </w:rPr>
        <w:fldChar w:fldCharType="separate"/>
      </w:r>
      <w:r>
        <w:rPr>
          <w:noProof/>
        </w:rPr>
        <w:t>8</w:t>
      </w:r>
      <w:r>
        <w:rPr>
          <w:noProof/>
        </w:rPr>
        <w:fldChar w:fldCharType="end"/>
      </w:r>
    </w:p>
    <w:p w14:paraId="7A1A83E5" w14:textId="68AFF533" w:rsidR="00A43E67" w:rsidRDefault="00A43E67">
      <w:pPr>
        <w:pStyle w:val="TM2"/>
        <w:rPr>
          <w:rFonts w:eastAsiaTheme="minorEastAsia" w:cstheme="minorBidi"/>
          <w:b w:val="0"/>
          <w:bCs w:val="0"/>
          <w:noProof/>
          <w:sz w:val="22"/>
          <w:szCs w:val="22"/>
        </w:rPr>
      </w:pPr>
      <w:r>
        <w:rPr>
          <w:noProof/>
        </w:rPr>
        <w:t>5.2. Représentant du titulaire.</w:t>
      </w:r>
      <w:r>
        <w:rPr>
          <w:noProof/>
        </w:rPr>
        <w:tab/>
      </w:r>
      <w:r>
        <w:rPr>
          <w:noProof/>
        </w:rPr>
        <w:fldChar w:fldCharType="begin"/>
      </w:r>
      <w:r>
        <w:rPr>
          <w:noProof/>
        </w:rPr>
        <w:instrText xml:space="preserve"> PAGEREF _Toc207979736 \h </w:instrText>
      </w:r>
      <w:r>
        <w:rPr>
          <w:noProof/>
        </w:rPr>
      </w:r>
      <w:r>
        <w:rPr>
          <w:noProof/>
        </w:rPr>
        <w:fldChar w:fldCharType="separate"/>
      </w:r>
      <w:r>
        <w:rPr>
          <w:noProof/>
        </w:rPr>
        <w:t>9</w:t>
      </w:r>
      <w:r>
        <w:rPr>
          <w:noProof/>
        </w:rPr>
        <w:fldChar w:fldCharType="end"/>
      </w:r>
    </w:p>
    <w:p w14:paraId="6642E8B1" w14:textId="08C10D39"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6 - CONDITIONS D’EXÉCUTION.</w:t>
      </w:r>
      <w:r>
        <w:rPr>
          <w:noProof/>
        </w:rPr>
        <w:tab/>
      </w:r>
      <w:r>
        <w:rPr>
          <w:noProof/>
        </w:rPr>
        <w:fldChar w:fldCharType="begin"/>
      </w:r>
      <w:r>
        <w:rPr>
          <w:noProof/>
        </w:rPr>
        <w:instrText xml:space="preserve"> PAGEREF _Toc207979737 \h </w:instrText>
      </w:r>
      <w:r>
        <w:rPr>
          <w:noProof/>
        </w:rPr>
      </w:r>
      <w:r>
        <w:rPr>
          <w:noProof/>
        </w:rPr>
        <w:fldChar w:fldCharType="separate"/>
      </w:r>
      <w:r>
        <w:rPr>
          <w:noProof/>
        </w:rPr>
        <w:t>9</w:t>
      </w:r>
      <w:r>
        <w:rPr>
          <w:noProof/>
        </w:rPr>
        <w:fldChar w:fldCharType="end"/>
      </w:r>
    </w:p>
    <w:p w14:paraId="2FE5BBEC" w14:textId="27F02677" w:rsidR="00A43E67" w:rsidRDefault="00A43E67">
      <w:pPr>
        <w:pStyle w:val="TM2"/>
        <w:rPr>
          <w:rFonts w:eastAsiaTheme="minorEastAsia" w:cstheme="minorBidi"/>
          <w:b w:val="0"/>
          <w:bCs w:val="0"/>
          <w:noProof/>
          <w:sz w:val="22"/>
          <w:szCs w:val="22"/>
        </w:rPr>
      </w:pPr>
      <w:r>
        <w:rPr>
          <w:noProof/>
        </w:rPr>
        <w:t>6.1. Conditions générales d'exécution.</w:t>
      </w:r>
      <w:r>
        <w:rPr>
          <w:noProof/>
        </w:rPr>
        <w:tab/>
      </w:r>
      <w:r>
        <w:rPr>
          <w:noProof/>
        </w:rPr>
        <w:fldChar w:fldCharType="begin"/>
      </w:r>
      <w:r>
        <w:rPr>
          <w:noProof/>
        </w:rPr>
        <w:instrText xml:space="preserve"> PAGEREF _Toc207979738 \h </w:instrText>
      </w:r>
      <w:r>
        <w:rPr>
          <w:noProof/>
        </w:rPr>
      </w:r>
      <w:r>
        <w:rPr>
          <w:noProof/>
        </w:rPr>
        <w:fldChar w:fldCharType="separate"/>
      </w:r>
      <w:r>
        <w:rPr>
          <w:noProof/>
        </w:rPr>
        <w:t>9</w:t>
      </w:r>
      <w:r>
        <w:rPr>
          <w:noProof/>
        </w:rPr>
        <w:fldChar w:fldCharType="end"/>
      </w:r>
    </w:p>
    <w:p w14:paraId="1B671C9C" w14:textId="7ABBB9D1" w:rsidR="00A43E67" w:rsidRDefault="00A43E67">
      <w:pPr>
        <w:pStyle w:val="TM2"/>
        <w:rPr>
          <w:rFonts w:eastAsiaTheme="minorEastAsia" w:cstheme="minorBidi"/>
          <w:b w:val="0"/>
          <w:bCs w:val="0"/>
          <w:noProof/>
          <w:sz w:val="22"/>
          <w:szCs w:val="22"/>
        </w:rPr>
      </w:pPr>
      <w:r>
        <w:rPr>
          <w:noProof/>
        </w:rPr>
        <w:t>6.2. Dispositions particulières concernant le personnel du titulaire.</w:t>
      </w:r>
      <w:r>
        <w:rPr>
          <w:noProof/>
        </w:rPr>
        <w:tab/>
      </w:r>
      <w:r>
        <w:rPr>
          <w:noProof/>
        </w:rPr>
        <w:fldChar w:fldCharType="begin"/>
      </w:r>
      <w:r>
        <w:rPr>
          <w:noProof/>
        </w:rPr>
        <w:instrText xml:space="preserve"> PAGEREF _Toc207979739 \h </w:instrText>
      </w:r>
      <w:r>
        <w:rPr>
          <w:noProof/>
        </w:rPr>
      </w:r>
      <w:r>
        <w:rPr>
          <w:noProof/>
        </w:rPr>
        <w:fldChar w:fldCharType="separate"/>
      </w:r>
      <w:r>
        <w:rPr>
          <w:noProof/>
        </w:rPr>
        <w:t>10</w:t>
      </w:r>
      <w:r>
        <w:rPr>
          <w:noProof/>
        </w:rPr>
        <w:fldChar w:fldCharType="end"/>
      </w:r>
    </w:p>
    <w:p w14:paraId="5DC15846" w14:textId="57937D34" w:rsidR="00A43E67" w:rsidRDefault="00A43E67">
      <w:pPr>
        <w:pStyle w:val="TM2"/>
        <w:rPr>
          <w:rFonts w:eastAsiaTheme="minorEastAsia" w:cstheme="minorBidi"/>
          <w:b w:val="0"/>
          <w:bCs w:val="0"/>
          <w:noProof/>
          <w:sz w:val="22"/>
          <w:szCs w:val="22"/>
        </w:rPr>
      </w:pPr>
      <w:r>
        <w:rPr>
          <w:noProof/>
        </w:rPr>
        <w:t>6.</w:t>
      </w:r>
      <w:r w:rsidRPr="00705324">
        <w:rPr>
          <w:noProof/>
        </w:rPr>
        <w:t>3</w:t>
      </w:r>
      <w:r>
        <w:rPr>
          <w:noProof/>
        </w:rPr>
        <w:t>. Clauses environnementales.</w:t>
      </w:r>
      <w:r>
        <w:rPr>
          <w:noProof/>
        </w:rPr>
        <w:tab/>
      </w:r>
      <w:r>
        <w:rPr>
          <w:noProof/>
        </w:rPr>
        <w:fldChar w:fldCharType="begin"/>
      </w:r>
      <w:r>
        <w:rPr>
          <w:noProof/>
        </w:rPr>
        <w:instrText xml:space="preserve"> PAGEREF _Toc207979740 \h </w:instrText>
      </w:r>
      <w:r>
        <w:rPr>
          <w:noProof/>
        </w:rPr>
      </w:r>
      <w:r>
        <w:rPr>
          <w:noProof/>
        </w:rPr>
        <w:fldChar w:fldCharType="separate"/>
      </w:r>
      <w:r>
        <w:rPr>
          <w:noProof/>
        </w:rPr>
        <w:t>10</w:t>
      </w:r>
      <w:r>
        <w:rPr>
          <w:noProof/>
        </w:rPr>
        <w:fldChar w:fldCharType="end"/>
      </w:r>
    </w:p>
    <w:p w14:paraId="5D6459D5" w14:textId="011073FC" w:rsidR="00A43E67" w:rsidRDefault="00A43E67">
      <w:pPr>
        <w:pStyle w:val="TM2"/>
        <w:rPr>
          <w:rFonts w:eastAsiaTheme="minorEastAsia" w:cstheme="minorBidi"/>
          <w:b w:val="0"/>
          <w:bCs w:val="0"/>
          <w:noProof/>
          <w:sz w:val="22"/>
          <w:szCs w:val="22"/>
        </w:rPr>
      </w:pPr>
      <w:r>
        <w:rPr>
          <w:noProof/>
        </w:rPr>
        <w:t>6.</w:t>
      </w:r>
      <w:r w:rsidRPr="00705324">
        <w:rPr>
          <w:noProof/>
        </w:rPr>
        <w:t>4</w:t>
      </w:r>
      <w:r>
        <w:rPr>
          <w:noProof/>
        </w:rPr>
        <w:t>. Respect du droit du travail.</w:t>
      </w:r>
      <w:r>
        <w:rPr>
          <w:noProof/>
        </w:rPr>
        <w:tab/>
      </w:r>
      <w:r>
        <w:rPr>
          <w:noProof/>
        </w:rPr>
        <w:fldChar w:fldCharType="begin"/>
      </w:r>
      <w:r>
        <w:rPr>
          <w:noProof/>
        </w:rPr>
        <w:instrText xml:space="preserve"> PAGEREF _Toc207979741 \h </w:instrText>
      </w:r>
      <w:r>
        <w:rPr>
          <w:noProof/>
        </w:rPr>
      </w:r>
      <w:r>
        <w:rPr>
          <w:noProof/>
        </w:rPr>
        <w:fldChar w:fldCharType="separate"/>
      </w:r>
      <w:r>
        <w:rPr>
          <w:noProof/>
        </w:rPr>
        <w:t>11</w:t>
      </w:r>
      <w:r>
        <w:rPr>
          <w:noProof/>
        </w:rPr>
        <w:fldChar w:fldCharType="end"/>
      </w:r>
    </w:p>
    <w:p w14:paraId="6DD72980" w14:textId="6A5E575F" w:rsidR="00A43E67" w:rsidRDefault="00A43E67">
      <w:pPr>
        <w:pStyle w:val="TM2"/>
        <w:rPr>
          <w:rFonts w:eastAsiaTheme="minorEastAsia" w:cstheme="minorBidi"/>
          <w:b w:val="0"/>
          <w:bCs w:val="0"/>
          <w:noProof/>
          <w:sz w:val="22"/>
          <w:szCs w:val="22"/>
        </w:rPr>
      </w:pPr>
      <w:r>
        <w:rPr>
          <w:noProof/>
        </w:rPr>
        <w:t>6.</w:t>
      </w:r>
      <w:r w:rsidRPr="00705324">
        <w:rPr>
          <w:noProof/>
        </w:rPr>
        <w:t>5</w:t>
      </w:r>
      <w:r>
        <w:rPr>
          <w:noProof/>
        </w:rPr>
        <w:t>. Modifications à caractère technique en cours d’exécution</w:t>
      </w:r>
      <w:r>
        <w:rPr>
          <w:noProof/>
        </w:rPr>
        <w:tab/>
      </w:r>
      <w:r>
        <w:rPr>
          <w:noProof/>
        </w:rPr>
        <w:fldChar w:fldCharType="begin"/>
      </w:r>
      <w:r>
        <w:rPr>
          <w:noProof/>
        </w:rPr>
        <w:instrText xml:space="preserve"> PAGEREF _Toc207979742 \h </w:instrText>
      </w:r>
      <w:r>
        <w:rPr>
          <w:noProof/>
        </w:rPr>
      </w:r>
      <w:r>
        <w:rPr>
          <w:noProof/>
        </w:rPr>
        <w:fldChar w:fldCharType="separate"/>
      </w:r>
      <w:r>
        <w:rPr>
          <w:noProof/>
        </w:rPr>
        <w:t>11</w:t>
      </w:r>
      <w:r>
        <w:rPr>
          <w:noProof/>
        </w:rPr>
        <w:fldChar w:fldCharType="end"/>
      </w:r>
    </w:p>
    <w:p w14:paraId="72600DA1" w14:textId="3FE8364A" w:rsidR="00A43E67" w:rsidRDefault="00A43E67">
      <w:pPr>
        <w:pStyle w:val="TM2"/>
        <w:rPr>
          <w:rFonts w:eastAsiaTheme="minorEastAsia" w:cstheme="minorBidi"/>
          <w:b w:val="0"/>
          <w:bCs w:val="0"/>
          <w:noProof/>
          <w:sz w:val="22"/>
          <w:szCs w:val="22"/>
        </w:rPr>
      </w:pPr>
      <w:r>
        <w:rPr>
          <w:noProof/>
        </w:rPr>
        <w:t>6.</w:t>
      </w:r>
      <w:r w:rsidRPr="00705324">
        <w:rPr>
          <w:noProof/>
        </w:rPr>
        <w:t>6</w:t>
      </w:r>
      <w:r>
        <w:rPr>
          <w:noProof/>
        </w:rPr>
        <w:t>. Documents à produire en cours d'exécution de l’accord-cadre.</w:t>
      </w:r>
      <w:r>
        <w:rPr>
          <w:noProof/>
        </w:rPr>
        <w:tab/>
      </w:r>
      <w:r>
        <w:rPr>
          <w:noProof/>
        </w:rPr>
        <w:fldChar w:fldCharType="begin"/>
      </w:r>
      <w:r>
        <w:rPr>
          <w:noProof/>
        </w:rPr>
        <w:instrText xml:space="preserve"> PAGEREF _Toc207979743 \h </w:instrText>
      </w:r>
      <w:r>
        <w:rPr>
          <w:noProof/>
        </w:rPr>
      </w:r>
      <w:r>
        <w:rPr>
          <w:noProof/>
        </w:rPr>
        <w:fldChar w:fldCharType="separate"/>
      </w:r>
      <w:r>
        <w:rPr>
          <w:noProof/>
        </w:rPr>
        <w:t>11</w:t>
      </w:r>
      <w:r>
        <w:rPr>
          <w:noProof/>
        </w:rPr>
        <w:fldChar w:fldCharType="end"/>
      </w:r>
    </w:p>
    <w:p w14:paraId="69F7DCAF" w14:textId="42E4CAC0" w:rsidR="00A43E67" w:rsidRDefault="00A43E67">
      <w:pPr>
        <w:pStyle w:val="TM2"/>
        <w:rPr>
          <w:rFonts w:eastAsiaTheme="minorEastAsia" w:cstheme="minorBidi"/>
          <w:b w:val="0"/>
          <w:bCs w:val="0"/>
          <w:noProof/>
          <w:sz w:val="22"/>
          <w:szCs w:val="22"/>
        </w:rPr>
      </w:pPr>
      <w:r>
        <w:rPr>
          <w:noProof/>
        </w:rPr>
        <w:t>6.</w:t>
      </w:r>
      <w:r w:rsidRPr="00705324">
        <w:rPr>
          <w:noProof/>
        </w:rPr>
        <w:t>7</w:t>
      </w:r>
      <w:r>
        <w:rPr>
          <w:noProof/>
        </w:rPr>
        <w:t>. Droits de propriété / utilisation des résultats / Concession du droit d'usage.</w:t>
      </w:r>
      <w:r>
        <w:rPr>
          <w:noProof/>
        </w:rPr>
        <w:tab/>
      </w:r>
      <w:r>
        <w:rPr>
          <w:noProof/>
        </w:rPr>
        <w:fldChar w:fldCharType="begin"/>
      </w:r>
      <w:r>
        <w:rPr>
          <w:noProof/>
        </w:rPr>
        <w:instrText xml:space="preserve"> PAGEREF _Toc207979744 \h </w:instrText>
      </w:r>
      <w:r>
        <w:rPr>
          <w:noProof/>
        </w:rPr>
      </w:r>
      <w:r>
        <w:rPr>
          <w:noProof/>
        </w:rPr>
        <w:fldChar w:fldCharType="separate"/>
      </w:r>
      <w:r>
        <w:rPr>
          <w:noProof/>
        </w:rPr>
        <w:t>12</w:t>
      </w:r>
      <w:r>
        <w:rPr>
          <w:noProof/>
        </w:rPr>
        <w:fldChar w:fldCharType="end"/>
      </w:r>
    </w:p>
    <w:p w14:paraId="64DA27DF" w14:textId="3271F282" w:rsidR="00A43E67" w:rsidRDefault="00A43E67">
      <w:pPr>
        <w:pStyle w:val="TM2"/>
        <w:rPr>
          <w:rFonts w:eastAsiaTheme="minorEastAsia" w:cstheme="minorBidi"/>
          <w:b w:val="0"/>
          <w:bCs w:val="0"/>
          <w:noProof/>
          <w:sz w:val="22"/>
          <w:szCs w:val="22"/>
        </w:rPr>
      </w:pPr>
      <w:r>
        <w:rPr>
          <w:noProof/>
        </w:rPr>
        <w:t>6.</w:t>
      </w:r>
      <w:r w:rsidRPr="00705324">
        <w:rPr>
          <w:noProof/>
        </w:rPr>
        <w:t>8</w:t>
      </w:r>
      <w:r>
        <w:rPr>
          <w:noProof/>
        </w:rPr>
        <w:t>. Réparation des dommages.</w:t>
      </w:r>
      <w:r>
        <w:rPr>
          <w:noProof/>
        </w:rPr>
        <w:tab/>
      </w:r>
      <w:r>
        <w:rPr>
          <w:noProof/>
        </w:rPr>
        <w:fldChar w:fldCharType="begin"/>
      </w:r>
      <w:r>
        <w:rPr>
          <w:noProof/>
        </w:rPr>
        <w:instrText xml:space="preserve"> PAGEREF _Toc207979745 \h </w:instrText>
      </w:r>
      <w:r>
        <w:rPr>
          <w:noProof/>
        </w:rPr>
      </w:r>
      <w:r>
        <w:rPr>
          <w:noProof/>
        </w:rPr>
        <w:fldChar w:fldCharType="separate"/>
      </w:r>
      <w:r>
        <w:rPr>
          <w:noProof/>
        </w:rPr>
        <w:t>13</w:t>
      </w:r>
      <w:r>
        <w:rPr>
          <w:noProof/>
        </w:rPr>
        <w:fldChar w:fldCharType="end"/>
      </w:r>
    </w:p>
    <w:p w14:paraId="20389159" w14:textId="4909A090" w:rsidR="00A43E67" w:rsidRDefault="00A43E67">
      <w:pPr>
        <w:pStyle w:val="TM2"/>
        <w:rPr>
          <w:rFonts w:eastAsiaTheme="minorEastAsia" w:cstheme="minorBidi"/>
          <w:b w:val="0"/>
          <w:bCs w:val="0"/>
          <w:noProof/>
          <w:sz w:val="22"/>
          <w:szCs w:val="22"/>
        </w:rPr>
      </w:pPr>
      <w:r>
        <w:rPr>
          <w:noProof/>
        </w:rPr>
        <w:t>6.</w:t>
      </w:r>
      <w:r w:rsidRPr="00705324">
        <w:rPr>
          <w:noProof/>
        </w:rPr>
        <w:t>9</w:t>
      </w:r>
      <w:r>
        <w:rPr>
          <w:noProof/>
        </w:rPr>
        <w:t>. Assurance.</w:t>
      </w:r>
      <w:r>
        <w:rPr>
          <w:noProof/>
        </w:rPr>
        <w:tab/>
      </w:r>
      <w:r>
        <w:rPr>
          <w:noProof/>
        </w:rPr>
        <w:fldChar w:fldCharType="begin"/>
      </w:r>
      <w:r>
        <w:rPr>
          <w:noProof/>
        </w:rPr>
        <w:instrText xml:space="preserve"> PAGEREF _Toc207979746 \h </w:instrText>
      </w:r>
      <w:r>
        <w:rPr>
          <w:noProof/>
        </w:rPr>
      </w:r>
      <w:r>
        <w:rPr>
          <w:noProof/>
        </w:rPr>
        <w:fldChar w:fldCharType="separate"/>
      </w:r>
      <w:r>
        <w:rPr>
          <w:noProof/>
        </w:rPr>
        <w:t>14</w:t>
      </w:r>
      <w:r>
        <w:rPr>
          <w:noProof/>
        </w:rPr>
        <w:fldChar w:fldCharType="end"/>
      </w:r>
    </w:p>
    <w:p w14:paraId="352CB60F" w14:textId="2FE6AB2C"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7 - SOUS-TRAITANCE DE PRESTATIONS.</w:t>
      </w:r>
      <w:r>
        <w:rPr>
          <w:noProof/>
        </w:rPr>
        <w:tab/>
      </w:r>
      <w:r>
        <w:rPr>
          <w:noProof/>
        </w:rPr>
        <w:fldChar w:fldCharType="begin"/>
      </w:r>
      <w:r>
        <w:rPr>
          <w:noProof/>
        </w:rPr>
        <w:instrText xml:space="preserve"> PAGEREF _Toc207979747 \h </w:instrText>
      </w:r>
      <w:r>
        <w:rPr>
          <w:noProof/>
        </w:rPr>
      </w:r>
      <w:r>
        <w:rPr>
          <w:noProof/>
        </w:rPr>
        <w:fldChar w:fldCharType="separate"/>
      </w:r>
      <w:r>
        <w:rPr>
          <w:noProof/>
        </w:rPr>
        <w:t>14</w:t>
      </w:r>
      <w:r>
        <w:rPr>
          <w:noProof/>
        </w:rPr>
        <w:fldChar w:fldCharType="end"/>
      </w:r>
    </w:p>
    <w:p w14:paraId="0F51362B" w14:textId="1156B5D8" w:rsidR="00A43E67" w:rsidRDefault="00A43E67">
      <w:pPr>
        <w:pStyle w:val="TM2"/>
        <w:rPr>
          <w:rFonts w:eastAsiaTheme="minorEastAsia" w:cstheme="minorBidi"/>
          <w:b w:val="0"/>
          <w:bCs w:val="0"/>
          <w:noProof/>
          <w:sz w:val="22"/>
          <w:szCs w:val="22"/>
        </w:rPr>
      </w:pPr>
      <w:r>
        <w:rPr>
          <w:noProof/>
        </w:rPr>
        <w:t>7.1. Généralités.</w:t>
      </w:r>
      <w:r>
        <w:rPr>
          <w:noProof/>
        </w:rPr>
        <w:tab/>
      </w:r>
      <w:r>
        <w:rPr>
          <w:noProof/>
        </w:rPr>
        <w:fldChar w:fldCharType="begin"/>
      </w:r>
      <w:r>
        <w:rPr>
          <w:noProof/>
        </w:rPr>
        <w:instrText xml:space="preserve"> PAGEREF _Toc207979748 \h </w:instrText>
      </w:r>
      <w:r>
        <w:rPr>
          <w:noProof/>
        </w:rPr>
      </w:r>
      <w:r>
        <w:rPr>
          <w:noProof/>
        </w:rPr>
        <w:fldChar w:fldCharType="separate"/>
      </w:r>
      <w:r>
        <w:rPr>
          <w:noProof/>
        </w:rPr>
        <w:t>14</w:t>
      </w:r>
      <w:r>
        <w:rPr>
          <w:noProof/>
        </w:rPr>
        <w:fldChar w:fldCharType="end"/>
      </w:r>
    </w:p>
    <w:p w14:paraId="3997C57F" w14:textId="31353768" w:rsidR="00A43E67" w:rsidRDefault="00A43E67">
      <w:pPr>
        <w:pStyle w:val="TM2"/>
        <w:rPr>
          <w:rFonts w:eastAsiaTheme="minorEastAsia" w:cstheme="minorBidi"/>
          <w:b w:val="0"/>
          <w:bCs w:val="0"/>
          <w:noProof/>
          <w:sz w:val="22"/>
          <w:szCs w:val="22"/>
        </w:rPr>
      </w:pPr>
      <w:r>
        <w:rPr>
          <w:noProof/>
        </w:rPr>
        <w:t>7.2. Déclaration de sous-traitance avant notification de l’accord-cadre.</w:t>
      </w:r>
      <w:r>
        <w:rPr>
          <w:noProof/>
        </w:rPr>
        <w:tab/>
      </w:r>
      <w:r>
        <w:rPr>
          <w:noProof/>
        </w:rPr>
        <w:fldChar w:fldCharType="begin"/>
      </w:r>
      <w:r>
        <w:rPr>
          <w:noProof/>
        </w:rPr>
        <w:instrText xml:space="preserve"> PAGEREF _Toc207979749 \h </w:instrText>
      </w:r>
      <w:r>
        <w:rPr>
          <w:noProof/>
        </w:rPr>
      </w:r>
      <w:r>
        <w:rPr>
          <w:noProof/>
        </w:rPr>
        <w:fldChar w:fldCharType="separate"/>
      </w:r>
      <w:r>
        <w:rPr>
          <w:noProof/>
        </w:rPr>
        <w:t>14</w:t>
      </w:r>
      <w:r>
        <w:rPr>
          <w:noProof/>
        </w:rPr>
        <w:fldChar w:fldCharType="end"/>
      </w:r>
    </w:p>
    <w:p w14:paraId="0E80639E" w14:textId="5659DC3E" w:rsidR="00A43E67" w:rsidRDefault="00A43E67">
      <w:pPr>
        <w:pStyle w:val="TM2"/>
        <w:rPr>
          <w:rFonts w:eastAsiaTheme="minorEastAsia" w:cstheme="minorBidi"/>
          <w:b w:val="0"/>
          <w:bCs w:val="0"/>
          <w:noProof/>
          <w:sz w:val="22"/>
          <w:szCs w:val="22"/>
        </w:rPr>
      </w:pPr>
      <w:r>
        <w:rPr>
          <w:noProof/>
        </w:rPr>
        <w:t>7.3. Déclaration de sous-traitance après notification de l’accord-cadre.</w:t>
      </w:r>
      <w:r>
        <w:rPr>
          <w:noProof/>
        </w:rPr>
        <w:tab/>
      </w:r>
      <w:r>
        <w:rPr>
          <w:noProof/>
        </w:rPr>
        <w:fldChar w:fldCharType="begin"/>
      </w:r>
      <w:r>
        <w:rPr>
          <w:noProof/>
        </w:rPr>
        <w:instrText xml:space="preserve"> PAGEREF _Toc207979750 \h </w:instrText>
      </w:r>
      <w:r>
        <w:rPr>
          <w:noProof/>
        </w:rPr>
      </w:r>
      <w:r>
        <w:rPr>
          <w:noProof/>
        </w:rPr>
        <w:fldChar w:fldCharType="separate"/>
      </w:r>
      <w:r>
        <w:rPr>
          <w:noProof/>
        </w:rPr>
        <w:t>14</w:t>
      </w:r>
      <w:r>
        <w:rPr>
          <w:noProof/>
        </w:rPr>
        <w:fldChar w:fldCharType="end"/>
      </w:r>
    </w:p>
    <w:p w14:paraId="6E7A6D00" w14:textId="3E04C584" w:rsidR="00A43E67" w:rsidRDefault="00A43E67">
      <w:pPr>
        <w:pStyle w:val="TM2"/>
        <w:rPr>
          <w:rFonts w:eastAsiaTheme="minorEastAsia" w:cstheme="minorBidi"/>
          <w:b w:val="0"/>
          <w:bCs w:val="0"/>
          <w:noProof/>
          <w:sz w:val="22"/>
          <w:szCs w:val="22"/>
        </w:rPr>
      </w:pPr>
      <w:r>
        <w:rPr>
          <w:noProof/>
        </w:rPr>
        <w:t>7.4. Responsabilité du titulaire envers l’acheteur et le sous-traitant.</w:t>
      </w:r>
      <w:r>
        <w:rPr>
          <w:noProof/>
        </w:rPr>
        <w:tab/>
      </w:r>
      <w:r>
        <w:rPr>
          <w:noProof/>
        </w:rPr>
        <w:fldChar w:fldCharType="begin"/>
      </w:r>
      <w:r>
        <w:rPr>
          <w:noProof/>
        </w:rPr>
        <w:instrText xml:space="preserve"> PAGEREF _Toc207979751 \h </w:instrText>
      </w:r>
      <w:r>
        <w:rPr>
          <w:noProof/>
        </w:rPr>
      </w:r>
      <w:r>
        <w:rPr>
          <w:noProof/>
        </w:rPr>
        <w:fldChar w:fldCharType="separate"/>
      </w:r>
      <w:r>
        <w:rPr>
          <w:noProof/>
        </w:rPr>
        <w:t>14</w:t>
      </w:r>
      <w:r>
        <w:rPr>
          <w:noProof/>
        </w:rPr>
        <w:fldChar w:fldCharType="end"/>
      </w:r>
    </w:p>
    <w:p w14:paraId="69B49993" w14:textId="6FF16940" w:rsidR="00A43E67" w:rsidRDefault="00A43E67">
      <w:pPr>
        <w:pStyle w:val="TM2"/>
        <w:rPr>
          <w:rFonts w:eastAsiaTheme="minorEastAsia" w:cstheme="minorBidi"/>
          <w:b w:val="0"/>
          <w:bCs w:val="0"/>
          <w:noProof/>
          <w:sz w:val="22"/>
          <w:szCs w:val="22"/>
        </w:rPr>
      </w:pPr>
      <w:r>
        <w:rPr>
          <w:noProof/>
        </w:rPr>
        <w:t>7.5. Modification dans la répartition entre titulaire et sous-traitant.</w:t>
      </w:r>
      <w:r>
        <w:rPr>
          <w:noProof/>
        </w:rPr>
        <w:tab/>
      </w:r>
      <w:r>
        <w:rPr>
          <w:noProof/>
        </w:rPr>
        <w:fldChar w:fldCharType="begin"/>
      </w:r>
      <w:r>
        <w:rPr>
          <w:noProof/>
        </w:rPr>
        <w:instrText xml:space="preserve"> PAGEREF _Toc207979752 \h </w:instrText>
      </w:r>
      <w:r>
        <w:rPr>
          <w:noProof/>
        </w:rPr>
      </w:r>
      <w:r>
        <w:rPr>
          <w:noProof/>
        </w:rPr>
        <w:fldChar w:fldCharType="separate"/>
      </w:r>
      <w:r>
        <w:rPr>
          <w:noProof/>
        </w:rPr>
        <w:t>15</w:t>
      </w:r>
      <w:r>
        <w:rPr>
          <w:noProof/>
        </w:rPr>
        <w:fldChar w:fldCharType="end"/>
      </w:r>
    </w:p>
    <w:p w14:paraId="507490EA" w14:textId="43EA70A7"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8 – LIVRABLES.</w:t>
      </w:r>
      <w:r>
        <w:rPr>
          <w:noProof/>
        </w:rPr>
        <w:tab/>
      </w:r>
      <w:r>
        <w:rPr>
          <w:noProof/>
        </w:rPr>
        <w:fldChar w:fldCharType="begin"/>
      </w:r>
      <w:r>
        <w:rPr>
          <w:noProof/>
        </w:rPr>
        <w:instrText xml:space="preserve"> PAGEREF _Toc207979753 \h </w:instrText>
      </w:r>
      <w:r>
        <w:rPr>
          <w:noProof/>
        </w:rPr>
      </w:r>
      <w:r>
        <w:rPr>
          <w:noProof/>
        </w:rPr>
        <w:fldChar w:fldCharType="separate"/>
      </w:r>
      <w:r>
        <w:rPr>
          <w:noProof/>
        </w:rPr>
        <w:t>15</w:t>
      </w:r>
      <w:r>
        <w:rPr>
          <w:noProof/>
        </w:rPr>
        <w:fldChar w:fldCharType="end"/>
      </w:r>
    </w:p>
    <w:p w14:paraId="22E84C28" w14:textId="21144C20"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9 - OPÉRATION DE VÉRIFICATION – ADMISSION.</w:t>
      </w:r>
      <w:r>
        <w:rPr>
          <w:noProof/>
        </w:rPr>
        <w:tab/>
      </w:r>
      <w:r>
        <w:rPr>
          <w:noProof/>
        </w:rPr>
        <w:fldChar w:fldCharType="begin"/>
      </w:r>
      <w:r>
        <w:rPr>
          <w:noProof/>
        </w:rPr>
        <w:instrText xml:space="preserve"> PAGEREF _Toc207979754 \h </w:instrText>
      </w:r>
      <w:r>
        <w:rPr>
          <w:noProof/>
        </w:rPr>
      </w:r>
      <w:r>
        <w:rPr>
          <w:noProof/>
        </w:rPr>
        <w:fldChar w:fldCharType="separate"/>
      </w:r>
      <w:r>
        <w:rPr>
          <w:noProof/>
        </w:rPr>
        <w:t>16</w:t>
      </w:r>
      <w:r>
        <w:rPr>
          <w:noProof/>
        </w:rPr>
        <w:fldChar w:fldCharType="end"/>
      </w:r>
    </w:p>
    <w:p w14:paraId="44BE6AA1" w14:textId="42DDCD31" w:rsidR="00A43E67" w:rsidRDefault="00A43E67">
      <w:pPr>
        <w:pStyle w:val="TM2"/>
        <w:rPr>
          <w:rFonts w:eastAsiaTheme="minorEastAsia" w:cstheme="minorBidi"/>
          <w:b w:val="0"/>
          <w:bCs w:val="0"/>
          <w:noProof/>
          <w:sz w:val="22"/>
          <w:szCs w:val="22"/>
        </w:rPr>
      </w:pPr>
      <w:r>
        <w:rPr>
          <w:noProof/>
        </w:rPr>
        <w:t>9.1. Opérations de vérification.</w:t>
      </w:r>
      <w:r>
        <w:rPr>
          <w:noProof/>
        </w:rPr>
        <w:tab/>
      </w:r>
      <w:r>
        <w:rPr>
          <w:noProof/>
        </w:rPr>
        <w:fldChar w:fldCharType="begin"/>
      </w:r>
      <w:r>
        <w:rPr>
          <w:noProof/>
        </w:rPr>
        <w:instrText xml:space="preserve"> PAGEREF _Toc207979755 \h </w:instrText>
      </w:r>
      <w:r>
        <w:rPr>
          <w:noProof/>
        </w:rPr>
      </w:r>
      <w:r>
        <w:rPr>
          <w:noProof/>
        </w:rPr>
        <w:fldChar w:fldCharType="separate"/>
      </w:r>
      <w:r>
        <w:rPr>
          <w:noProof/>
        </w:rPr>
        <w:t>16</w:t>
      </w:r>
      <w:r>
        <w:rPr>
          <w:noProof/>
        </w:rPr>
        <w:fldChar w:fldCharType="end"/>
      </w:r>
    </w:p>
    <w:p w14:paraId="580D82FF" w14:textId="4087090B" w:rsidR="00A43E67" w:rsidRDefault="00A43E67">
      <w:pPr>
        <w:pStyle w:val="TM2"/>
        <w:rPr>
          <w:rFonts w:eastAsiaTheme="minorEastAsia" w:cstheme="minorBidi"/>
          <w:b w:val="0"/>
          <w:bCs w:val="0"/>
          <w:noProof/>
          <w:sz w:val="22"/>
          <w:szCs w:val="22"/>
        </w:rPr>
      </w:pPr>
      <w:r>
        <w:rPr>
          <w:noProof/>
        </w:rPr>
        <w:t xml:space="preserve">9.2. </w:t>
      </w:r>
      <w:r w:rsidRPr="00705324">
        <w:rPr>
          <w:noProof/>
        </w:rPr>
        <w:t>Admission</w:t>
      </w:r>
      <w:r>
        <w:rPr>
          <w:noProof/>
        </w:rPr>
        <w:t>.</w:t>
      </w:r>
      <w:r>
        <w:rPr>
          <w:noProof/>
        </w:rPr>
        <w:tab/>
      </w:r>
      <w:r>
        <w:rPr>
          <w:noProof/>
        </w:rPr>
        <w:fldChar w:fldCharType="begin"/>
      </w:r>
      <w:r>
        <w:rPr>
          <w:noProof/>
        </w:rPr>
        <w:instrText xml:space="preserve"> PAGEREF _Toc207979756 \h </w:instrText>
      </w:r>
      <w:r>
        <w:rPr>
          <w:noProof/>
        </w:rPr>
      </w:r>
      <w:r>
        <w:rPr>
          <w:noProof/>
        </w:rPr>
        <w:fldChar w:fldCharType="separate"/>
      </w:r>
      <w:r>
        <w:rPr>
          <w:noProof/>
        </w:rPr>
        <w:t>16</w:t>
      </w:r>
      <w:r>
        <w:rPr>
          <w:noProof/>
        </w:rPr>
        <w:fldChar w:fldCharType="end"/>
      </w:r>
    </w:p>
    <w:p w14:paraId="196748AE" w14:textId="11D8E4E2" w:rsidR="00A43E67" w:rsidRDefault="00A43E67">
      <w:pPr>
        <w:pStyle w:val="TM2"/>
        <w:rPr>
          <w:rFonts w:eastAsiaTheme="minorEastAsia" w:cstheme="minorBidi"/>
          <w:b w:val="0"/>
          <w:bCs w:val="0"/>
          <w:noProof/>
          <w:sz w:val="22"/>
          <w:szCs w:val="22"/>
        </w:rPr>
      </w:pPr>
      <w:r>
        <w:rPr>
          <w:noProof/>
        </w:rPr>
        <w:t>9.3. Ajournement.</w:t>
      </w:r>
      <w:r>
        <w:rPr>
          <w:noProof/>
        </w:rPr>
        <w:tab/>
      </w:r>
      <w:r>
        <w:rPr>
          <w:noProof/>
        </w:rPr>
        <w:fldChar w:fldCharType="begin"/>
      </w:r>
      <w:r>
        <w:rPr>
          <w:noProof/>
        </w:rPr>
        <w:instrText xml:space="preserve"> PAGEREF _Toc207979757 \h </w:instrText>
      </w:r>
      <w:r>
        <w:rPr>
          <w:noProof/>
        </w:rPr>
      </w:r>
      <w:r>
        <w:rPr>
          <w:noProof/>
        </w:rPr>
        <w:fldChar w:fldCharType="separate"/>
      </w:r>
      <w:r>
        <w:rPr>
          <w:noProof/>
        </w:rPr>
        <w:t>16</w:t>
      </w:r>
      <w:r>
        <w:rPr>
          <w:noProof/>
        </w:rPr>
        <w:fldChar w:fldCharType="end"/>
      </w:r>
    </w:p>
    <w:p w14:paraId="2A5BFF19" w14:textId="557442F3" w:rsidR="00A43E67" w:rsidRDefault="00A43E67">
      <w:pPr>
        <w:pStyle w:val="TM2"/>
        <w:rPr>
          <w:rFonts w:eastAsiaTheme="minorEastAsia" w:cstheme="minorBidi"/>
          <w:b w:val="0"/>
          <w:bCs w:val="0"/>
          <w:noProof/>
          <w:sz w:val="22"/>
          <w:szCs w:val="22"/>
        </w:rPr>
      </w:pPr>
      <w:r>
        <w:rPr>
          <w:noProof/>
        </w:rPr>
        <w:t>9.4. Réfaction.</w:t>
      </w:r>
      <w:r>
        <w:rPr>
          <w:noProof/>
        </w:rPr>
        <w:tab/>
      </w:r>
      <w:r>
        <w:rPr>
          <w:noProof/>
        </w:rPr>
        <w:fldChar w:fldCharType="begin"/>
      </w:r>
      <w:r>
        <w:rPr>
          <w:noProof/>
        </w:rPr>
        <w:instrText xml:space="preserve"> PAGEREF _Toc207979758 \h </w:instrText>
      </w:r>
      <w:r>
        <w:rPr>
          <w:noProof/>
        </w:rPr>
      </w:r>
      <w:r>
        <w:rPr>
          <w:noProof/>
        </w:rPr>
        <w:fldChar w:fldCharType="separate"/>
      </w:r>
      <w:r>
        <w:rPr>
          <w:noProof/>
        </w:rPr>
        <w:t>16</w:t>
      </w:r>
      <w:r>
        <w:rPr>
          <w:noProof/>
        </w:rPr>
        <w:fldChar w:fldCharType="end"/>
      </w:r>
    </w:p>
    <w:p w14:paraId="26562B4A" w14:textId="693597C4" w:rsidR="00A43E67" w:rsidRDefault="00A43E67">
      <w:pPr>
        <w:pStyle w:val="TM2"/>
        <w:rPr>
          <w:rFonts w:eastAsiaTheme="minorEastAsia" w:cstheme="minorBidi"/>
          <w:b w:val="0"/>
          <w:bCs w:val="0"/>
          <w:noProof/>
          <w:sz w:val="22"/>
          <w:szCs w:val="22"/>
        </w:rPr>
      </w:pPr>
      <w:r>
        <w:rPr>
          <w:noProof/>
        </w:rPr>
        <w:t>9.5 Rejet</w:t>
      </w:r>
      <w:r>
        <w:rPr>
          <w:noProof/>
        </w:rPr>
        <w:tab/>
      </w:r>
      <w:r>
        <w:rPr>
          <w:noProof/>
        </w:rPr>
        <w:fldChar w:fldCharType="begin"/>
      </w:r>
      <w:r>
        <w:rPr>
          <w:noProof/>
        </w:rPr>
        <w:instrText xml:space="preserve"> PAGEREF _Toc207979759 \h </w:instrText>
      </w:r>
      <w:r>
        <w:rPr>
          <w:noProof/>
        </w:rPr>
      </w:r>
      <w:r>
        <w:rPr>
          <w:noProof/>
        </w:rPr>
        <w:fldChar w:fldCharType="separate"/>
      </w:r>
      <w:r>
        <w:rPr>
          <w:noProof/>
        </w:rPr>
        <w:t>16</w:t>
      </w:r>
      <w:r>
        <w:rPr>
          <w:noProof/>
        </w:rPr>
        <w:fldChar w:fldCharType="end"/>
      </w:r>
    </w:p>
    <w:p w14:paraId="52C77B1E" w14:textId="3D8A2BE7"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10 - MODALITÉS DE DÉTERMINATION DES PRIX DE L’ACCORD-CADRE.</w:t>
      </w:r>
      <w:r>
        <w:rPr>
          <w:noProof/>
        </w:rPr>
        <w:tab/>
      </w:r>
      <w:r>
        <w:rPr>
          <w:noProof/>
        </w:rPr>
        <w:fldChar w:fldCharType="begin"/>
      </w:r>
      <w:r>
        <w:rPr>
          <w:noProof/>
        </w:rPr>
        <w:instrText xml:space="preserve"> PAGEREF _Toc207979760 \h </w:instrText>
      </w:r>
      <w:r>
        <w:rPr>
          <w:noProof/>
        </w:rPr>
      </w:r>
      <w:r>
        <w:rPr>
          <w:noProof/>
        </w:rPr>
        <w:fldChar w:fldCharType="separate"/>
      </w:r>
      <w:r>
        <w:rPr>
          <w:noProof/>
        </w:rPr>
        <w:t>17</w:t>
      </w:r>
      <w:r>
        <w:rPr>
          <w:noProof/>
        </w:rPr>
        <w:fldChar w:fldCharType="end"/>
      </w:r>
    </w:p>
    <w:p w14:paraId="49CB0171" w14:textId="3CB73917" w:rsidR="00A43E67" w:rsidRDefault="00A43E67">
      <w:pPr>
        <w:pStyle w:val="TM2"/>
        <w:rPr>
          <w:rFonts w:eastAsiaTheme="minorEastAsia" w:cstheme="minorBidi"/>
          <w:b w:val="0"/>
          <w:bCs w:val="0"/>
          <w:noProof/>
          <w:sz w:val="22"/>
          <w:szCs w:val="22"/>
        </w:rPr>
      </w:pPr>
      <w:r>
        <w:rPr>
          <w:noProof/>
        </w:rPr>
        <w:t>10.1. Contenu des prix.</w:t>
      </w:r>
      <w:r>
        <w:rPr>
          <w:noProof/>
        </w:rPr>
        <w:tab/>
      </w:r>
      <w:r>
        <w:rPr>
          <w:noProof/>
        </w:rPr>
        <w:fldChar w:fldCharType="begin"/>
      </w:r>
      <w:r>
        <w:rPr>
          <w:noProof/>
        </w:rPr>
        <w:instrText xml:space="preserve"> PAGEREF _Toc207979761 \h </w:instrText>
      </w:r>
      <w:r>
        <w:rPr>
          <w:noProof/>
        </w:rPr>
      </w:r>
      <w:r>
        <w:rPr>
          <w:noProof/>
        </w:rPr>
        <w:fldChar w:fldCharType="separate"/>
      </w:r>
      <w:r>
        <w:rPr>
          <w:noProof/>
        </w:rPr>
        <w:t>17</w:t>
      </w:r>
      <w:r>
        <w:rPr>
          <w:noProof/>
        </w:rPr>
        <w:fldChar w:fldCharType="end"/>
      </w:r>
    </w:p>
    <w:p w14:paraId="0C033A33" w14:textId="01009EF4" w:rsidR="00A43E67" w:rsidRDefault="00A43E67">
      <w:pPr>
        <w:pStyle w:val="TM2"/>
        <w:rPr>
          <w:rFonts w:eastAsiaTheme="minorEastAsia" w:cstheme="minorBidi"/>
          <w:b w:val="0"/>
          <w:bCs w:val="0"/>
          <w:noProof/>
          <w:sz w:val="22"/>
          <w:szCs w:val="22"/>
        </w:rPr>
      </w:pPr>
      <w:r>
        <w:rPr>
          <w:noProof/>
        </w:rPr>
        <w:t>10.2. Type des prix.</w:t>
      </w:r>
      <w:r>
        <w:rPr>
          <w:noProof/>
        </w:rPr>
        <w:tab/>
      </w:r>
      <w:r>
        <w:rPr>
          <w:noProof/>
        </w:rPr>
        <w:fldChar w:fldCharType="begin"/>
      </w:r>
      <w:r>
        <w:rPr>
          <w:noProof/>
        </w:rPr>
        <w:instrText xml:space="preserve"> PAGEREF _Toc207979762 \h </w:instrText>
      </w:r>
      <w:r>
        <w:rPr>
          <w:noProof/>
        </w:rPr>
      </w:r>
      <w:r>
        <w:rPr>
          <w:noProof/>
        </w:rPr>
        <w:fldChar w:fldCharType="separate"/>
      </w:r>
      <w:r>
        <w:rPr>
          <w:noProof/>
        </w:rPr>
        <w:t>17</w:t>
      </w:r>
      <w:r>
        <w:rPr>
          <w:noProof/>
        </w:rPr>
        <w:fldChar w:fldCharType="end"/>
      </w:r>
    </w:p>
    <w:p w14:paraId="72DC6A73" w14:textId="23B681F3" w:rsidR="00A43E67" w:rsidRDefault="00A43E67">
      <w:pPr>
        <w:pStyle w:val="TM2"/>
        <w:rPr>
          <w:rFonts w:eastAsiaTheme="minorEastAsia" w:cstheme="minorBidi"/>
          <w:b w:val="0"/>
          <w:bCs w:val="0"/>
          <w:noProof/>
          <w:sz w:val="22"/>
          <w:szCs w:val="22"/>
        </w:rPr>
      </w:pPr>
      <w:r>
        <w:rPr>
          <w:noProof/>
        </w:rPr>
        <w:t>10.3. Variation des prix.</w:t>
      </w:r>
      <w:r>
        <w:rPr>
          <w:noProof/>
        </w:rPr>
        <w:tab/>
      </w:r>
      <w:r>
        <w:rPr>
          <w:noProof/>
        </w:rPr>
        <w:fldChar w:fldCharType="begin"/>
      </w:r>
      <w:r>
        <w:rPr>
          <w:noProof/>
        </w:rPr>
        <w:instrText xml:space="preserve"> PAGEREF _Toc207979763 \h </w:instrText>
      </w:r>
      <w:r>
        <w:rPr>
          <w:noProof/>
        </w:rPr>
      </w:r>
      <w:r>
        <w:rPr>
          <w:noProof/>
        </w:rPr>
        <w:fldChar w:fldCharType="separate"/>
      </w:r>
      <w:r>
        <w:rPr>
          <w:noProof/>
        </w:rPr>
        <w:t>17</w:t>
      </w:r>
      <w:r>
        <w:rPr>
          <w:noProof/>
        </w:rPr>
        <w:fldChar w:fldCharType="end"/>
      </w:r>
    </w:p>
    <w:p w14:paraId="0CECB943" w14:textId="685FDB04" w:rsidR="00A43E67" w:rsidRDefault="00A43E67">
      <w:pPr>
        <w:pStyle w:val="TM2"/>
        <w:rPr>
          <w:rFonts w:eastAsiaTheme="minorEastAsia" w:cstheme="minorBidi"/>
          <w:b w:val="0"/>
          <w:bCs w:val="0"/>
          <w:noProof/>
          <w:sz w:val="22"/>
          <w:szCs w:val="22"/>
        </w:rPr>
      </w:pPr>
      <w:r>
        <w:rPr>
          <w:noProof/>
        </w:rPr>
        <w:t xml:space="preserve">10.4. </w:t>
      </w:r>
      <w:r w:rsidRPr="00705324">
        <w:rPr>
          <w:noProof/>
        </w:rPr>
        <w:t>R</w:t>
      </w:r>
      <w:r>
        <w:rPr>
          <w:noProof/>
        </w:rPr>
        <w:t>évision des prix.</w:t>
      </w:r>
      <w:r>
        <w:rPr>
          <w:noProof/>
        </w:rPr>
        <w:tab/>
      </w:r>
      <w:r>
        <w:rPr>
          <w:noProof/>
        </w:rPr>
        <w:fldChar w:fldCharType="begin"/>
      </w:r>
      <w:r>
        <w:rPr>
          <w:noProof/>
        </w:rPr>
        <w:instrText xml:space="preserve"> PAGEREF _Toc207979764 \h </w:instrText>
      </w:r>
      <w:r>
        <w:rPr>
          <w:noProof/>
        </w:rPr>
      </w:r>
      <w:r>
        <w:rPr>
          <w:noProof/>
        </w:rPr>
        <w:fldChar w:fldCharType="separate"/>
      </w:r>
      <w:r>
        <w:rPr>
          <w:noProof/>
        </w:rPr>
        <w:t>17</w:t>
      </w:r>
      <w:r>
        <w:rPr>
          <w:noProof/>
        </w:rPr>
        <w:fldChar w:fldCharType="end"/>
      </w:r>
    </w:p>
    <w:p w14:paraId="708C0000" w14:textId="72ACF1B1" w:rsidR="00A43E67" w:rsidRDefault="00A43E67">
      <w:pPr>
        <w:pStyle w:val="TM2"/>
        <w:rPr>
          <w:rFonts w:eastAsiaTheme="minorEastAsia" w:cstheme="minorBidi"/>
          <w:b w:val="0"/>
          <w:bCs w:val="0"/>
          <w:noProof/>
          <w:sz w:val="22"/>
          <w:szCs w:val="22"/>
        </w:rPr>
      </w:pPr>
      <w:r>
        <w:rPr>
          <w:noProof/>
        </w:rPr>
        <w:t>10.5. Unité monétaire – TVA.</w:t>
      </w:r>
      <w:r>
        <w:rPr>
          <w:noProof/>
        </w:rPr>
        <w:tab/>
      </w:r>
      <w:r>
        <w:rPr>
          <w:noProof/>
        </w:rPr>
        <w:fldChar w:fldCharType="begin"/>
      </w:r>
      <w:r>
        <w:rPr>
          <w:noProof/>
        </w:rPr>
        <w:instrText xml:space="preserve"> PAGEREF _Toc207979765 \h </w:instrText>
      </w:r>
      <w:r>
        <w:rPr>
          <w:noProof/>
        </w:rPr>
      </w:r>
      <w:r>
        <w:rPr>
          <w:noProof/>
        </w:rPr>
        <w:fldChar w:fldCharType="separate"/>
      </w:r>
      <w:r>
        <w:rPr>
          <w:noProof/>
        </w:rPr>
        <w:t>17</w:t>
      </w:r>
      <w:r>
        <w:rPr>
          <w:noProof/>
        </w:rPr>
        <w:fldChar w:fldCharType="end"/>
      </w:r>
    </w:p>
    <w:p w14:paraId="45E8F6D6" w14:textId="6B2EA1AA" w:rsidR="00A43E67" w:rsidRDefault="00A43E67">
      <w:pPr>
        <w:pStyle w:val="TM2"/>
        <w:rPr>
          <w:rFonts w:eastAsiaTheme="minorEastAsia" w:cstheme="minorBidi"/>
          <w:b w:val="0"/>
          <w:bCs w:val="0"/>
          <w:noProof/>
          <w:sz w:val="22"/>
          <w:szCs w:val="22"/>
        </w:rPr>
      </w:pPr>
      <w:r>
        <w:rPr>
          <w:noProof/>
        </w:rPr>
        <w:t>10.6. Paiement de la TVA pour les prestations de services exécutées par un titulaire français.</w:t>
      </w:r>
      <w:r>
        <w:rPr>
          <w:noProof/>
        </w:rPr>
        <w:tab/>
      </w:r>
      <w:r>
        <w:rPr>
          <w:noProof/>
        </w:rPr>
        <w:fldChar w:fldCharType="begin"/>
      </w:r>
      <w:r>
        <w:rPr>
          <w:noProof/>
        </w:rPr>
        <w:instrText xml:space="preserve"> PAGEREF _Toc207979766 \h </w:instrText>
      </w:r>
      <w:r>
        <w:rPr>
          <w:noProof/>
        </w:rPr>
      </w:r>
      <w:r>
        <w:rPr>
          <w:noProof/>
        </w:rPr>
        <w:fldChar w:fldCharType="separate"/>
      </w:r>
      <w:r>
        <w:rPr>
          <w:noProof/>
        </w:rPr>
        <w:t>18</w:t>
      </w:r>
      <w:r>
        <w:rPr>
          <w:noProof/>
        </w:rPr>
        <w:fldChar w:fldCharType="end"/>
      </w:r>
    </w:p>
    <w:p w14:paraId="15524CE2" w14:textId="4BA7B272" w:rsidR="00A43E67" w:rsidRDefault="00A43E67">
      <w:pPr>
        <w:pStyle w:val="TM2"/>
        <w:rPr>
          <w:rFonts w:eastAsiaTheme="minorEastAsia" w:cstheme="minorBidi"/>
          <w:b w:val="0"/>
          <w:bCs w:val="0"/>
          <w:noProof/>
          <w:sz w:val="22"/>
          <w:szCs w:val="22"/>
        </w:rPr>
      </w:pPr>
      <w:r>
        <w:rPr>
          <w:noProof/>
        </w:rPr>
        <w:t>10.7. Paiement de la TVA pour les prestations de service exécutées par un titulaire étranger</w:t>
      </w:r>
      <w:r w:rsidRPr="00705324">
        <w:rPr>
          <w:noProof/>
        </w:rPr>
        <w:t>.</w:t>
      </w:r>
      <w:r>
        <w:rPr>
          <w:noProof/>
        </w:rPr>
        <w:tab/>
      </w:r>
      <w:r>
        <w:rPr>
          <w:noProof/>
        </w:rPr>
        <w:fldChar w:fldCharType="begin"/>
      </w:r>
      <w:r>
        <w:rPr>
          <w:noProof/>
        </w:rPr>
        <w:instrText xml:space="preserve"> PAGEREF _Toc207979767 \h </w:instrText>
      </w:r>
      <w:r>
        <w:rPr>
          <w:noProof/>
        </w:rPr>
      </w:r>
      <w:r>
        <w:rPr>
          <w:noProof/>
        </w:rPr>
        <w:fldChar w:fldCharType="separate"/>
      </w:r>
      <w:r>
        <w:rPr>
          <w:noProof/>
        </w:rPr>
        <w:t>18</w:t>
      </w:r>
      <w:r>
        <w:rPr>
          <w:noProof/>
        </w:rPr>
        <w:fldChar w:fldCharType="end"/>
      </w:r>
    </w:p>
    <w:p w14:paraId="115C251D" w14:textId="3DEBE3D7"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11 - CONDITIONS DE PAIEMENT.</w:t>
      </w:r>
      <w:r>
        <w:rPr>
          <w:noProof/>
        </w:rPr>
        <w:tab/>
      </w:r>
      <w:r>
        <w:rPr>
          <w:noProof/>
        </w:rPr>
        <w:fldChar w:fldCharType="begin"/>
      </w:r>
      <w:r>
        <w:rPr>
          <w:noProof/>
        </w:rPr>
        <w:instrText xml:space="preserve"> PAGEREF _Toc207979768 \h </w:instrText>
      </w:r>
      <w:r>
        <w:rPr>
          <w:noProof/>
        </w:rPr>
      </w:r>
      <w:r>
        <w:rPr>
          <w:noProof/>
        </w:rPr>
        <w:fldChar w:fldCharType="separate"/>
      </w:r>
      <w:r>
        <w:rPr>
          <w:noProof/>
        </w:rPr>
        <w:t>18</w:t>
      </w:r>
      <w:r>
        <w:rPr>
          <w:noProof/>
        </w:rPr>
        <w:fldChar w:fldCharType="end"/>
      </w:r>
    </w:p>
    <w:p w14:paraId="1708870E" w14:textId="3254FCF3" w:rsidR="00A43E67" w:rsidRDefault="00A43E67">
      <w:pPr>
        <w:pStyle w:val="TM2"/>
        <w:rPr>
          <w:rFonts w:eastAsiaTheme="minorEastAsia" w:cstheme="minorBidi"/>
          <w:b w:val="0"/>
          <w:bCs w:val="0"/>
          <w:noProof/>
          <w:sz w:val="22"/>
          <w:szCs w:val="22"/>
        </w:rPr>
      </w:pPr>
      <w:r>
        <w:rPr>
          <w:noProof/>
        </w:rPr>
        <w:t>11.1. Avance.</w:t>
      </w:r>
      <w:r>
        <w:rPr>
          <w:noProof/>
        </w:rPr>
        <w:tab/>
      </w:r>
      <w:r>
        <w:rPr>
          <w:noProof/>
        </w:rPr>
        <w:fldChar w:fldCharType="begin"/>
      </w:r>
      <w:r>
        <w:rPr>
          <w:noProof/>
        </w:rPr>
        <w:instrText xml:space="preserve"> PAGEREF _Toc207979769 \h </w:instrText>
      </w:r>
      <w:r>
        <w:rPr>
          <w:noProof/>
        </w:rPr>
      </w:r>
      <w:r>
        <w:rPr>
          <w:noProof/>
        </w:rPr>
        <w:fldChar w:fldCharType="separate"/>
      </w:r>
      <w:r>
        <w:rPr>
          <w:noProof/>
        </w:rPr>
        <w:t>18</w:t>
      </w:r>
      <w:r>
        <w:rPr>
          <w:noProof/>
        </w:rPr>
        <w:fldChar w:fldCharType="end"/>
      </w:r>
    </w:p>
    <w:p w14:paraId="3D31DC6F" w14:textId="215E95C7" w:rsidR="00A43E67" w:rsidRDefault="00A43E67">
      <w:pPr>
        <w:pStyle w:val="TM2"/>
        <w:rPr>
          <w:rFonts w:eastAsiaTheme="minorEastAsia" w:cstheme="minorBidi"/>
          <w:b w:val="0"/>
          <w:bCs w:val="0"/>
          <w:noProof/>
          <w:sz w:val="22"/>
          <w:szCs w:val="22"/>
        </w:rPr>
      </w:pPr>
      <w:r>
        <w:rPr>
          <w:noProof/>
        </w:rPr>
        <w:t>11.2. Modalités de paiement.</w:t>
      </w:r>
      <w:r>
        <w:rPr>
          <w:noProof/>
        </w:rPr>
        <w:tab/>
      </w:r>
      <w:r>
        <w:rPr>
          <w:noProof/>
        </w:rPr>
        <w:fldChar w:fldCharType="begin"/>
      </w:r>
      <w:r>
        <w:rPr>
          <w:noProof/>
        </w:rPr>
        <w:instrText xml:space="preserve"> PAGEREF _Toc207979770 \h </w:instrText>
      </w:r>
      <w:r>
        <w:rPr>
          <w:noProof/>
        </w:rPr>
      </w:r>
      <w:r>
        <w:rPr>
          <w:noProof/>
        </w:rPr>
        <w:fldChar w:fldCharType="separate"/>
      </w:r>
      <w:r>
        <w:rPr>
          <w:noProof/>
        </w:rPr>
        <w:t>19</w:t>
      </w:r>
      <w:r>
        <w:rPr>
          <w:noProof/>
        </w:rPr>
        <w:fldChar w:fldCharType="end"/>
      </w:r>
    </w:p>
    <w:p w14:paraId="3CE25894" w14:textId="570CB878" w:rsidR="00A43E67" w:rsidRDefault="00A43E67">
      <w:pPr>
        <w:pStyle w:val="TM2"/>
        <w:rPr>
          <w:rFonts w:eastAsiaTheme="minorEastAsia" w:cstheme="minorBidi"/>
          <w:b w:val="0"/>
          <w:bCs w:val="0"/>
          <w:noProof/>
          <w:sz w:val="22"/>
          <w:szCs w:val="22"/>
        </w:rPr>
      </w:pPr>
      <w:r>
        <w:rPr>
          <w:noProof/>
        </w:rPr>
        <w:t>11.3. Modalités d'envoi – contenu des demandes de paiement.</w:t>
      </w:r>
      <w:r>
        <w:rPr>
          <w:noProof/>
        </w:rPr>
        <w:tab/>
      </w:r>
      <w:r>
        <w:rPr>
          <w:noProof/>
        </w:rPr>
        <w:fldChar w:fldCharType="begin"/>
      </w:r>
      <w:r>
        <w:rPr>
          <w:noProof/>
        </w:rPr>
        <w:instrText xml:space="preserve"> PAGEREF _Toc207979771 \h </w:instrText>
      </w:r>
      <w:r>
        <w:rPr>
          <w:noProof/>
        </w:rPr>
      </w:r>
      <w:r>
        <w:rPr>
          <w:noProof/>
        </w:rPr>
        <w:fldChar w:fldCharType="separate"/>
      </w:r>
      <w:r>
        <w:rPr>
          <w:noProof/>
        </w:rPr>
        <w:t>19</w:t>
      </w:r>
      <w:r>
        <w:rPr>
          <w:noProof/>
        </w:rPr>
        <w:fldChar w:fldCharType="end"/>
      </w:r>
    </w:p>
    <w:p w14:paraId="526CFFD4" w14:textId="60BE7419" w:rsidR="00A43E67" w:rsidRDefault="00A43E67">
      <w:pPr>
        <w:pStyle w:val="TM2"/>
        <w:rPr>
          <w:rFonts w:eastAsiaTheme="minorEastAsia" w:cstheme="minorBidi"/>
          <w:b w:val="0"/>
          <w:bCs w:val="0"/>
          <w:noProof/>
          <w:sz w:val="22"/>
          <w:szCs w:val="22"/>
        </w:rPr>
      </w:pPr>
      <w:r>
        <w:rPr>
          <w:noProof/>
        </w:rPr>
        <w:t>11.4. Délai global de paiement.</w:t>
      </w:r>
      <w:r>
        <w:rPr>
          <w:noProof/>
        </w:rPr>
        <w:tab/>
      </w:r>
      <w:r>
        <w:rPr>
          <w:noProof/>
        </w:rPr>
        <w:fldChar w:fldCharType="begin"/>
      </w:r>
      <w:r>
        <w:rPr>
          <w:noProof/>
        </w:rPr>
        <w:instrText xml:space="preserve"> PAGEREF _Toc207979772 \h </w:instrText>
      </w:r>
      <w:r>
        <w:rPr>
          <w:noProof/>
        </w:rPr>
      </w:r>
      <w:r>
        <w:rPr>
          <w:noProof/>
        </w:rPr>
        <w:fldChar w:fldCharType="separate"/>
      </w:r>
      <w:r>
        <w:rPr>
          <w:noProof/>
        </w:rPr>
        <w:t>21</w:t>
      </w:r>
      <w:r>
        <w:rPr>
          <w:noProof/>
        </w:rPr>
        <w:fldChar w:fldCharType="end"/>
      </w:r>
    </w:p>
    <w:p w14:paraId="3A9F4E98" w14:textId="60795972" w:rsidR="00A43E67" w:rsidRDefault="00A43E67">
      <w:pPr>
        <w:pStyle w:val="TM2"/>
        <w:rPr>
          <w:rFonts w:eastAsiaTheme="minorEastAsia" w:cstheme="minorBidi"/>
          <w:b w:val="0"/>
          <w:bCs w:val="0"/>
          <w:noProof/>
          <w:sz w:val="22"/>
          <w:szCs w:val="22"/>
        </w:rPr>
      </w:pPr>
      <w:r>
        <w:rPr>
          <w:noProof/>
        </w:rPr>
        <w:t>11.5. Ordonnateur et comptable assignataire.</w:t>
      </w:r>
      <w:r>
        <w:rPr>
          <w:noProof/>
        </w:rPr>
        <w:tab/>
      </w:r>
      <w:r>
        <w:rPr>
          <w:noProof/>
        </w:rPr>
        <w:fldChar w:fldCharType="begin"/>
      </w:r>
      <w:r>
        <w:rPr>
          <w:noProof/>
        </w:rPr>
        <w:instrText xml:space="preserve"> PAGEREF _Toc207979773 \h </w:instrText>
      </w:r>
      <w:r>
        <w:rPr>
          <w:noProof/>
        </w:rPr>
      </w:r>
      <w:r>
        <w:rPr>
          <w:noProof/>
        </w:rPr>
        <w:fldChar w:fldCharType="separate"/>
      </w:r>
      <w:r>
        <w:rPr>
          <w:noProof/>
        </w:rPr>
        <w:t>22</w:t>
      </w:r>
      <w:r>
        <w:rPr>
          <w:noProof/>
        </w:rPr>
        <w:fldChar w:fldCharType="end"/>
      </w:r>
    </w:p>
    <w:p w14:paraId="0C96EA40" w14:textId="65879C32" w:rsidR="00A43E67" w:rsidRDefault="00A43E67">
      <w:pPr>
        <w:pStyle w:val="TM2"/>
        <w:rPr>
          <w:rFonts w:eastAsiaTheme="minorEastAsia" w:cstheme="minorBidi"/>
          <w:b w:val="0"/>
          <w:bCs w:val="0"/>
          <w:noProof/>
          <w:sz w:val="22"/>
          <w:szCs w:val="22"/>
        </w:rPr>
      </w:pPr>
      <w:r>
        <w:rPr>
          <w:noProof/>
        </w:rPr>
        <w:t>11.6. Cession et nantissement de créance.</w:t>
      </w:r>
      <w:r>
        <w:rPr>
          <w:noProof/>
        </w:rPr>
        <w:tab/>
      </w:r>
      <w:r>
        <w:rPr>
          <w:noProof/>
        </w:rPr>
        <w:fldChar w:fldCharType="begin"/>
      </w:r>
      <w:r>
        <w:rPr>
          <w:noProof/>
        </w:rPr>
        <w:instrText xml:space="preserve"> PAGEREF _Toc207979774 \h </w:instrText>
      </w:r>
      <w:r>
        <w:rPr>
          <w:noProof/>
        </w:rPr>
      </w:r>
      <w:r>
        <w:rPr>
          <w:noProof/>
        </w:rPr>
        <w:fldChar w:fldCharType="separate"/>
      </w:r>
      <w:r>
        <w:rPr>
          <w:noProof/>
        </w:rPr>
        <w:t>22</w:t>
      </w:r>
      <w:r>
        <w:rPr>
          <w:noProof/>
        </w:rPr>
        <w:fldChar w:fldCharType="end"/>
      </w:r>
    </w:p>
    <w:p w14:paraId="14A5423D" w14:textId="3E64F209" w:rsidR="00A43E67" w:rsidRDefault="00A43E67">
      <w:pPr>
        <w:pStyle w:val="TM2"/>
        <w:rPr>
          <w:rFonts w:eastAsiaTheme="minorEastAsia" w:cstheme="minorBidi"/>
          <w:b w:val="0"/>
          <w:bCs w:val="0"/>
          <w:noProof/>
          <w:sz w:val="22"/>
          <w:szCs w:val="22"/>
        </w:rPr>
      </w:pPr>
      <w:r>
        <w:rPr>
          <w:noProof/>
        </w:rPr>
        <w:t>11.7. Paiement des sous-traitants.</w:t>
      </w:r>
      <w:r>
        <w:rPr>
          <w:noProof/>
        </w:rPr>
        <w:tab/>
      </w:r>
      <w:r>
        <w:rPr>
          <w:noProof/>
        </w:rPr>
        <w:fldChar w:fldCharType="begin"/>
      </w:r>
      <w:r>
        <w:rPr>
          <w:noProof/>
        </w:rPr>
        <w:instrText xml:space="preserve"> PAGEREF _Toc207979775 \h </w:instrText>
      </w:r>
      <w:r>
        <w:rPr>
          <w:noProof/>
        </w:rPr>
      </w:r>
      <w:r>
        <w:rPr>
          <w:noProof/>
        </w:rPr>
        <w:fldChar w:fldCharType="separate"/>
      </w:r>
      <w:r>
        <w:rPr>
          <w:noProof/>
        </w:rPr>
        <w:t>22</w:t>
      </w:r>
      <w:r>
        <w:rPr>
          <w:noProof/>
        </w:rPr>
        <w:fldChar w:fldCharType="end"/>
      </w:r>
    </w:p>
    <w:p w14:paraId="22EADF5A" w14:textId="0771679E"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12 – PÉNALITÉS.</w:t>
      </w:r>
      <w:r>
        <w:rPr>
          <w:noProof/>
        </w:rPr>
        <w:tab/>
      </w:r>
      <w:r>
        <w:rPr>
          <w:noProof/>
        </w:rPr>
        <w:fldChar w:fldCharType="begin"/>
      </w:r>
      <w:r>
        <w:rPr>
          <w:noProof/>
        </w:rPr>
        <w:instrText xml:space="preserve"> PAGEREF _Toc207979776 \h </w:instrText>
      </w:r>
      <w:r>
        <w:rPr>
          <w:noProof/>
        </w:rPr>
      </w:r>
      <w:r>
        <w:rPr>
          <w:noProof/>
        </w:rPr>
        <w:fldChar w:fldCharType="separate"/>
      </w:r>
      <w:r>
        <w:rPr>
          <w:noProof/>
        </w:rPr>
        <w:t>23</w:t>
      </w:r>
      <w:r>
        <w:rPr>
          <w:noProof/>
        </w:rPr>
        <w:fldChar w:fldCharType="end"/>
      </w:r>
    </w:p>
    <w:p w14:paraId="27873439" w14:textId="334ABD73" w:rsidR="00A43E67" w:rsidRDefault="00A43E67">
      <w:pPr>
        <w:pStyle w:val="TM2"/>
        <w:rPr>
          <w:rFonts w:eastAsiaTheme="minorEastAsia" w:cstheme="minorBidi"/>
          <w:b w:val="0"/>
          <w:bCs w:val="0"/>
          <w:noProof/>
          <w:sz w:val="22"/>
          <w:szCs w:val="22"/>
        </w:rPr>
      </w:pPr>
      <w:r>
        <w:rPr>
          <w:noProof/>
        </w:rPr>
        <w:t>12.1. Modalités de mise en œuvre des pénalités pour retard</w:t>
      </w:r>
      <w:r>
        <w:rPr>
          <w:noProof/>
        </w:rPr>
        <w:tab/>
      </w:r>
      <w:r>
        <w:rPr>
          <w:noProof/>
        </w:rPr>
        <w:fldChar w:fldCharType="begin"/>
      </w:r>
      <w:r>
        <w:rPr>
          <w:noProof/>
        </w:rPr>
        <w:instrText xml:space="preserve"> PAGEREF _Toc207979777 \h </w:instrText>
      </w:r>
      <w:r>
        <w:rPr>
          <w:noProof/>
        </w:rPr>
      </w:r>
      <w:r>
        <w:rPr>
          <w:noProof/>
        </w:rPr>
        <w:fldChar w:fldCharType="separate"/>
      </w:r>
      <w:r>
        <w:rPr>
          <w:noProof/>
        </w:rPr>
        <w:t>23</w:t>
      </w:r>
      <w:r>
        <w:rPr>
          <w:noProof/>
        </w:rPr>
        <w:fldChar w:fldCharType="end"/>
      </w:r>
    </w:p>
    <w:p w14:paraId="08EB2ED9" w14:textId="0B733C65" w:rsidR="00A43E67" w:rsidRDefault="00A43E67">
      <w:pPr>
        <w:pStyle w:val="TM2"/>
        <w:rPr>
          <w:rFonts w:eastAsiaTheme="minorEastAsia" w:cstheme="minorBidi"/>
          <w:b w:val="0"/>
          <w:bCs w:val="0"/>
          <w:noProof/>
          <w:sz w:val="22"/>
          <w:szCs w:val="22"/>
        </w:rPr>
      </w:pPr>
      <w:r>
        <w:rPr>
          <w:noProof/>
        </w:rPr>
        <w:t>12.2. Pénalités pour les livrables associés à la protection des données à caractère personnel</w:t>
      </w:r>
      <w:r>
        <w:rPr>
          <w:noProof/>
        </w:rPr>
        <w:tab/>
      </w:r>
      <w:r>
        <w:rPr>
          <w:noProof/>
        </w:rPr>
        <w:fldChar w:fldCharType="begin"/>
      </w:r>
      <w:r>
        <w:rPr>
          <w:noProof/>
        </w:rPr>
        <w:instrText xml:space="preserve"> PAGEREF _Toc207979778 \h </w:instrText>
      </w:r>
      <w:r>
        <w:rPr>
          <w:noProof/>
        </w:rPr>
      </w:r>
      <w:r>
        <w:rPr>
          <w:noProof/>
        </w:rPr>
        <w:fldChar w:fldCharType="separate"/>
      </w:r>
      <w:r>
        <w:rPr>
          <w:noProof/>
        </w:rPr>
        <w:t>23</w:t>
      </w:r>
      <w:r>
        <w:rPr>
          <w:noProof/>
        </w:rPr>
        <w:fldChar w:fldCharType="end"/>
      </w:r>
    </w:p>
    <w:p w14:paraId="417100E4" w14:textId="753BEFEE"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13 – GARANTIES.</w:t>
      </w:r>
      <w:r>
        <w:rPr>
          <w:noProof/>
        </w:rPr>
        <w:tab/>
      </w:r>
      <w:r>
        <w:rPr>
          <w:noProof/>
        </w:rPr>
        <w:fldChar w:fldCharType="begin"/>
      </w:r>
      <w:r>
        <w:rPr>
          <w:noProof/>
        </w:rPr>
        <w:instrText xml:space="preserve"> PAGEREF _Toc207979779 \h </w:instrText>
      </w:r>
      <w:r>
        <w:rPr>
          <w:noProof/>
        </w:rPr>
      </w:r>
      <w:r>
        <w:rPr>
          <w:noProof/>
        </w:rPr>
        <w:fldChar w:fldCharType="separate"/>
      </w:r>
      <w:r>
        <w:rPr>
          <w:noProof/>
        </w:rPr>
        <w:t>23</w:t>
      </w:r>
      <w:r>
        <w:rPr>
          <w:noProof/>
        </w:rPr>
        <w:fldChar w:fldCharType="end"/>
      </w:r>
    </w:p>
    <w:p w14:paraId="273BFE4D" w14:textId="5E430DA6"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lastRenderedPageBreak/>
        <w:t>ARTICLE 14 – CONFIDENTIALITÉ – MESURES DE SÉCURITÉ.</w:t>
      </w:r>
      <w:r>
        <w:rPr>
          <w:noProof/>
        </w:rPr>
        <w:tab/>
      </w:r>
      <w:r>
        <w:rPr>
          <w:noProof/>
        </w:rPr>
        <w:fldChar w:fldCharType="begin"/>
      </w:r>
      <w:r>
        <w:rPr>
          <w:noProof/>
        </w:rPr>
        <w:instrText xml:space="preserve"> PAGEREF _Toc207979780 \h </w:instrText>
      </w:r>
      <w:r>
        <w:rPr>
          <w:noProof/>
        </w:rPr>
      </w:r>
      <w:r>
        <w:rPr>
          <w:noProof/>
        </w:rPr>
        <w:fldChar w:fldCharType="separate"/>
      </w:r>
      <w:r>
        <w:rPr>
          <w:noProof/>
        </w:rPr>
        <w:t>23</w:t>
      </w:r>
      <w:r>
        <w:rPr>
          <w:noProof/>
        </w:rPr>
        <w:fldChar w:fldCharType="end"/>
      </w:r>
    </w:p>
    <w:p w14:paraId="439790C9" w14:textId="3F1A0715" w:rsidR="00A43E67" w:rsidRDefault="00A43E67">
      <w:pPr>
        <w:pStyle w:val="TM2"/>
        <w:rPr>
          <w:rFonts w:eastAsiaTheme="minorEastAsia" w:cstheme="minorBidi"/>
          <w:b w:val="0"/>
          <w:bCs w:val="0"/>
          <w:noProof/>
          <w:sz w:val="22"/>
          <w:szCs w:val="22"/>
        </w:rPr>
      </w:pPr>
      <w:r>
        <w:rPr>
          <w:noProof/>
        </w:rPr>
        <w:t>1</w:t>
      </w:r>
      <w:r w:rsidRPr="00705324">
        <w:rPr>
          <w:noProof/>
        </w:rPr>
        <w:t>4</w:t>
      </w:r>
      <w:r>
        <w:rPr>
          <w:noProof/>
        </w:rPr>
        <w:t>.1. Confidentialité.</w:t>
      </w:r>
      <w:r>
        <w:rPr>
          <w:noProof/>
        </w:rPr>
        <w:tab/>
      </w:r>
      <w:r>
        <w:rPr>
          <w:noProof/>
        </w:rPr>
        <w:fldChar w:fldCharType="begin"/>
      </w:r>
      <w:r>
        <w:rPr>
          <w:noProof/>
        </w:rPr>
        <w:instrText xml:space="preserve"> PAGEREF _Toc207979781 \h </w:instrText>
      </w:r>
      <w:r>
        <w:rPr>
          <w:noProof/>
        </w:rPr>
      </w:r>
      <w:r>
        <w:rPr>
          <w:noProof/>
        </w:rPr>
        <w:fldChar w:fldCharType="separate"/>
      </w:r>
      <w:r>
        <w:rPr>
          <w:noProof/>
        </w:rPr>
        <w:t>23</w:t>
      </w:r>
      <w:r>
        <w:rPr>
          <w:noProof/>
        </w:rPr>
        <w:fldChar w:fldCharType="end"/>
      </w:r>
    </w:p>
    <w:p w14:paraId="289A4D6E" w14:textId="68A185D3" w:rsidR="00A43E67" w:rsidRDefault="00A43E67">
      <w:pPr>
        <w:pStyle w:val="TM2"/>
        <w:rPr>
          <w:rFonts w:eastAsiaTheme="minorEastAsia" w:cstheme="minorBidi"/>
          <w:b w:val="0"/>
          <w:bCs w:val="0"/>
          <w:noProof/>
          <w:sz w:val="22"/>
          <w:szCs w:val="22"/>
        </w:rPr>
      </w:pPr>
      <w:r>
        <w:rPr>
          <w:noProof/>
        </w:rPr>
        <w:t>14.2. Protection du secret défense.</w:t>
      </w:r>
      <w:r>
        <w:rPr>
          <w:noProof/>
        </w:rPr>
        <w:tab/>
      </w:r>
      <w:r>
        <w:rPr>
          <w:noProof/>
        </w:rPr>
        <w:fldChar w:fldCharType="begin"/>
      </w:r>
      <w:r>
        <w:rPr>
          <w:noProof/>
        </w:rPr>
        <w:instrText xml:space="preserve"> PAGEREF _Toc207979782 \h </w:instrText>
      </w:r>
      <w:r>
        <w:rPr>
          <w:noProof/>
        </w:rPr>
      </w:r>
      <w:r>
        <w:rPr>
          <w:noProof/>
        </w:rPr>
        <w:fldChar w:fldCharType="separate"/>
      </w:r>
      <w:r>
        <w:rPr>
          <w:noProof/>
        </w:rPr>
        <w:t>23</w:t>
      </w:r>
      <w:r>
        <w:rPr>
          <w:noProof/>
        </w:rPr>
        <w:fldChar w:fldCharType="end"/>
      </w:r>
    </w:p>
    <w:p w14:paraId="429949B4" w14:textId="2695BD70" w:rsidR="00A43E67" w:rsidRDefault="00A43E67">
      <w:pPr>
        <w:pStyle w:val="TM2"/>
        <w:rPr>
          <w:rFonts w:eastAsiaTheme="minorEastAsia" w:cstheme="minorBidi"/>
          <w:b w:val="0"/>
          <w:bCs w:val="0"/>
          <w:noProof/>
          <w:sz w:val="22"/>
          <w:szCs w:val="22"/>
        </w:rPr>
      </w:pPr>
      <w:r>
        <w:rPr>
          <w:noProof/>
        </w:rPr>
        <w:t>1</w:t>
      </w:r>
      <w:r w:rsidRPr="00705324">
        <w:rPr>
          <w:noProof/>
        </w:rPr>
        <w:t>4</w:t>
      </w:r>
      <w:r>
        <w:rPr>
          <w:noProof/>
        </w:rPr>
        <w:t>.3.</w:t>
      </w:r>
      <w:r w:rsidRPr="00705324">
        <w:rPr>
          <w:noProof/>
        </w:rPr>
        <w:t xml:space="preserve"> Dispositions relatives à l’accès aux emprises</w:t>
      </w:r>
      <w:r>
        <w:rPr>
          <w:noProof/>
        </w:rPr>
        <w:tab/>
      </w:r>
      <w:r>
        <w:rPr>
          <w:noProof/>
        </w:rPr>
        <w:fldChar w:fldCharType="begin"/>
      </w:r>
      <w:r>
        <w:rPr>
          <w:noProof/>
        </w:rPr>
        <w:instrText xml:space="preserve"> PAGEREF _Toc207979783 \h </w:instrText>
      </w:r>
      <w:r>
        <w:rPr>
          <w:noProof/>
        </w:rPr>
      </w:r>
      <w:r>
        <w:rPr>
          <w:noProof/>
        </w:rPr>
        <w:fldChar w:fldCharType="separate"/>
      </w:r>
      <w:r>
        <w:rPr>
          <w:noProof/>
        </w:rPr>
        <w:t>24</w:t>
      </w:r>
      <w:r>
        <w:rPr>
          <w:noProof/>
        </w:rPr>
        <w:fldChar w:fldCharType="end"/>
      </w:r>
    </w:p>
    <w:p w14:paraId="0DAD68F1" w14:textId="3B2AA8F3"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15 – REGLEMENT GENERAL DE PROTECTION DES DONNEES</w:t>
      </w:r>
      <w:r>
        <w:rPr>
          <w:noProof/>
        </w:rPr>
        <w:tab/>
      </w:r>
      <w:r>
        <w:rPr>
          <w:noProof/>
        </w:rPr>
        <w:fldChar w:fldCharType="begin"/>
      </w:r>
      <w:r>
        <w:rPr>
          <w:noProof/>
        </w:rPr>
        <w:instrText xml:space="preserve"> PAGEREF _Toc207979784 \h </w:instrText>
      </w:r>
      <w:r>
        <w:rPr>
          <w:noProof/>
        </w:rPr>
      </w:r>
      <w:r>
        <w:rPr>
          <w:noProof/>
        </w:rPr>
        <w:fldChar w:fldCharType="separate"/>
      </w:r>
      <w:r>
        <w:rPr>
          <w:noProof/>
        </w:rPr>
        <w:t>26</w:t>
      </w:r>
      <w:r>
        <w:rPr>
          <w:noProof/>
        </w:rPr>
        <w:fldChar w:fldCharType="end"/>
      </w:r>
    </w:p>
    <w:p w14:paraId="509FA444" w14:textId="39810DC3"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16 – MARCHÉ ULTERIEUR DE PRESTATIONS SIMILAIRES.</w:t>
      </w:r>
      <w:r>
        <w:rPr>
          <w:noProof/>
        </w:rPr>
        <w:tab/>
      </w:r>
      <w:r>
        <w:rPr>
          <w:noProof/>
        </w:rPr>
        <w:fldChar w:fldCharType="begin"/>
      </w:r>
      <w:r>
        <w:rPr>
          <w:noProof/>
        </w:rPr>
        <w:instrText xml:space="preserve"> PAGEREF _Toc207979785 \h </w:instrText>
      </w:r>
      <w:r>
        <w:rPr>
          <w:noProof/>
        </w:rPr>
      </w:r>
      <w:r>
        <w:rPr>
          <w:noProof/>
        </w:rPr>
        <w:fldChar w:fldCharType="separate"/>
      </w:r>
      <w:r>
        <w:rPr>
          <w:noProof/>
        </w:rPr>
        <w:t>29</w:t>
      </w:r>
      <w:r>
        <w:rPr>
          <w:noProof/>
        </w:rPr>
        <w:fldChar w:fldCharType="end"/>
      </w:r>
    </w:p>
    <w:p w14:paraId="176D9FD2" w14:textId="262F1E2B"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17 – RÉSILIATION DE L’ACCORD-CADRE.</w:t>
      </w:r>
      <w:r>
        <w:rPr>
          <w:noProof/>
        </w:rPr>
        <w:tab/>
      </w:r>
      <w:r>
        <w:rPr>
          <w:noProof/>
        </w:rPr>
        <w:fldChar w:fldCharType="begin"/>
      </w:r>
      <w:r>
        <w:rPr>
          <w:noProof/>
        </w:rPr>
        <w:instrText xml:space="preserve"> PAGEREF _Toc207979786 \h </w:instrText>
      </w:r>
      <w:r>
        <w:rPr>
          <w:noProof/>
        </w:rPr>
      </w:r>
      <w:r>
        <w:rPr>
          <w:noProof/>
        </w:rPr>
        <w:fldChar w:fldCharType="separate"/>
      </w:r>
      <w:r>
        <w:rPr>
          <w:noProof/>
        </w:rPr>
        <w:t>29</w:t>
      </w:r>
      <w:r>
        <w:rPr>
          <w:noProof/>
        </w:rPr>
        <w:fldChar w:fldCharType="end"/>
      </w:r>
    </w:p>
    <w:p w14:paraId="6398E9F8" w14:textId="0EC989FD" w:rsidR="00A43E67" w:rsidRDefault="00A43E67">
      <w:pPr>
        <w:pStyle w:val="TM2"/>
        <w:rPr>
          <w:rFonts w:eastAsiaTheme="minorEastAsia" w:cstheme="minorBidi"/>
          <w:b w:val="0"/>
          <w:bCs w:val="0"/>
          <w:noProof/>
          <w:sz w:val="22"/>
          <w:szCs w:val="22"/>
        </w:rPr>
      </w:pPr>
      <w:r>
        <w:rPr>
          <w:noProof/>
        </w:rPr>
        <w:t>1</w:t>
      </w:r>
      <w:r w:rsidRPr="00705324">
        <w:rPr>
          <w:noProof/>
        </w:rPr>
        <w:t>7</w:t>
      </w:r>
      <w:r>
        <w:rPr>
          <w:noProof/>
        </w:rPr>
        <w:t>.1. Résiliation de l’accord-cadre.</w:t>
      </w:r>
      <w:r>
        <w:rPr>
          <w:noProof/>
        </w:rPr>
        <w:tab/>
      </w:r>
      <w:r>
        <w:rPr>
          <w:noProof/>
        </w:rPr>
        <w:fldChar w:fldCharType="begin"/>
      </w:r>
      <w:r>
        <w:rPr>
          <w:noProof/>
        </w:rPr>
        <w:instrText xml:space="preserve"> PAGEREF _Toc207979787 \h </w:instrText>
      </w:r>
      <w:r>
        <w:rPr>
          <w:noProof/>
        </w:rPr>
      </w:r>
      <w:r>
        <w:rPr>
          <w:noProof/>
        </w:rPr>
        <w:fldChar w:fldCharType="separate"/>
      </w:r>
      <w:r>
        <w:rPr>
          <w:noProof/>
        </w:rPr>
        <w:t>29</w:t>
      </w:r>
      <w:r>
        <w:rPr>
          <w:noProof/>
        </w:rPr>
        <w:fldChar w:fldCharType="end"/>
      </w:r>
    </w:p>
    <w:p w14:paraId="7C54AF26" w14:textId="02E54EAB" w:rsidR="00A43E67" w:rsidRDefault="00A43E67">
      <w:pPr>
        <w:pStyle w:val="TM2"/>
        <w:rPr>
          <w:rFonts w:eastAsiaTheme="minorEastAsia" w:cstheme="minorBidi"/>
          <w:b w:val="0"/>
          <w:bCs w:val="0"/>
          <w:noProof/>
          <w:sz w:val="22"/>
          <w:szCs w:val="22"/>
        </w:rPr>
      </w:pPr>
      <w:r>
        <w:rPr>
          <w:noProof/>
        </w:rPr>
        <w:t>1</w:t>
      </w:r>
      <w:r w:rsidRPr="00705324">
        <w:rPr>
          <w:noProof/>
        </w:rPr>
        <w:t>7</w:t>
      </w:r>
      <w:r>
        <w:rPr>
          <w:noProof/>
        </w:rPr>
        <w:t>.2. Résiliation partielle.</w:t>
      </w:r>
      <w:r>
        <w:rPr>
          <w:noProof/>
        </w:rPr>
        <w:tab/>
      </w:r>
      <w:r>
        <w:rPr>
          <w:noProof/>
        </w:rPr>
        <w:fldChar w:fldCharType="begin"/>
      </w:r>
      <w:r>
        <w:rPr>
          <w:noProof/>
        </w:rPr>
        <w:instrText xml:space="preserve"> PAGEREF _Toc207979788 \h </w:instrText>
      </w:r>
      <w:r>
        <w:rPr>
          <w:noProof/>
        </w:rPr>
      </w:r>
      <w:r>
        <w:rPr>
          <w:noProof/>
        </w:rPr>
        <w:fldChar w:fldCharType="separate"/>
      </w:r>
      <w:r>
        <w:rPr>
          <w:noProof/>
        </w:rPr>
        <w:t>29</w:t>
      </w:r>
      <w:r>
        <w:rPr>
          <w:noProof/>
        </w:rPr>
        <w:fldChar w:fldCharType="end"/>
      </w:r>
    </w:p>
    <w:p w14:paraId="57D03FC3" w14:textId="45E58448"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18 - RÈGLEMENT AMIABLE DES LITIGES – RECOURS.</w:t>
      </w:r>
      <w:r>
        <w:rPr>
          <w:noProof/>
        </w:rPr>
        <w:tab/>
      </w:r>
      <w:r>
        <w:rPr>
          <w:noProof/>
        </w:rPr>
        <w:fldChar w:fldCharType="begin"/>
      </w:r>
      <w:r>
        <w:rPr>
          <w:noProof/>
        </w:rPr>
        <w:instrText xml:space="preserve"> PAGEREF _Toc207979789 \h </w:instrText>
      </w:r>
      <w:r>
        <w:rPr>
          <w:noProof/>
        </w:rPr>
      </w:r>
      <w:r>
        <w:rPr>
          <w:noProof/>
        </w:rPr>
        <w:fldChar w:fldCharType="separate"/>
      </w:r>
      <w:r>
        <w:rPr>
          <w:noProof/>
        </w:rPr>
        <w:t>29</w:t>
      </w:r>
      <w:r>
        <w:rPr>
          <w:noProof/>
        </w:rPr>
        <w:fldChar w:fldCharType="end"/>
      </w:r>
    </w:p>
    <w:p w14:paraId="6B2AF886" w14:textId="2F77A27D" w:rsidR="00A43E67" w:rsidRDefault="00A43E67">
      <w:pPr>
        <w:pStyle w:val="TM2"/>
        <w:rPr>
          <w:rFonts w:eastAsiaTheme="minorEastAsia" w:cstheme="minorBidi"/>
          <w:b w:val="0"/>
          <w:bCs w:val="0"/>
          <w:noProof/>
          <w:sz w:val="22"/>
          <w:szCs w:val="22"/>
        </w:rPr>
      </w:pPr>
      <w:r>
        <w:rPr>
          <w:noProof/>
        </w:rPr>
        <w:t>1</w:t>
      </w:r>
      <w:r w:rsidRPr="00705324">
        <w:rPr>
          <w:noProof/>
        </w:rPr>
        <w:t>8</w:t>
      </w:r>
      <w:r>
        <w:rPr>
          <w:noProof/>
        </w:rPr>
        <w:t>.1. Recours gracieux.</w:t>
      </w:r>
      <w:r>
        <w:rPr>
          <w:noProof/>
        </w:rPr>
        <w:tab/>
      </w:r>
      <w:r>
        <w:rPr>
          <w:noProof/>
        </w:rPr>
        <w:fldChar w:fldCharType="begin"/>
      </w:r>
      <w:r>
        <w:rPr>
          <w:noProof/>
        </w:rPr>
        <w:instrText xml:space="preserve"> PAGEREF _Toc207979790 \h </w:instrText>
      </w:r>
      <w:r>
        <w:rPr>
          <w:noProof/>
        </w:rPr>
      </w:r>
      <w:r>
        <w:rPr>
          <w:noProof/>
        </w:rPr>
        <w:fldChar w:fldCharType="separate"/>
      </w:r>
      <w:r>
        <w:rPr>
          <w:noProof/>
        </w:rPr>
        <w:t>29</w:t>
      </w:r>
      <w:r>
        <w:rPr>
          <w:noProof/>
        </w:rPr>
        <w:fldChar w:fldCharType="end"/>
      </w:r>
    </w:p>
    <w:p w14:paraId="6A8D20F7" w14:textId="622E0219" w:rsidR="00A43E67" w:rsidRDefault="00A43E67">
      <w:pPr>
        <w:pStyle w:val="TM2"/>
        <w:rPr>
          <w:rFonts w:eastAsiaTheme="minorEastAsia" w:cstheme="minorBidi"/>
          <w:b w:val="0"/>
          <w:bCs w:val="0"/>
          <w:noProof/>
          <w:sz w:val="22"/>
          <w:szCs w:val="22"/>
        </w:rPr>
      </w:pPr>
      <w:r>
        <w:rPr>
          <w:noProof/>
        </w:rPr>
        <w:t>1</w:t>
      </w:r>
      <w:r w:rsidRPr="00705324">
        <w:rPr>
          <w:noProof/>
        </w:rPr>
        <w:t>8</w:t>
      </w:r>
      <w:r>
        <w:rPr>
          <w:noProof/>
        </w:rPr>
        <w:t>.2. Règlement amiable des litiges et des différends</w:t>
      </w:r>
      <w:r>
        <w:rPr>
          <w:noProof/>
        </w:rPr>
        <w:tab/>
      </w:r>
      <w:r>
        <w:rPr>
          <w:noProof/>
        </w:rPr>
        <w:fldChar w:fldCharType="begin"/>
      </w:r>
      <w:r>
        <w:rPr>
          <w:noProof/>
        </w:rPr>
        <w:instrText xml:space="preserve"> PAGEREF _Toc207979791 \h </w:instrText>
      </w:r>
      <w:r>
        <w:rPr>
          <w:noProof/>
        </w:rPr>
      </w:r>
      <w:r>
        <w:rPr>
          <w:noProof/>
        </w:rPr>
        <w:fldChar w:fldCharType="separate"/>
      </w:r>
      <w:r>
        <w:rPr>
          <w:noProof/>
        </w:rPr>
        <w:t>29</w:t>
      </w:r>
      <w:r>
        <w:rPr>
          <w:noProof/>
        </w:rPr>
        <w:fldChar w:fldCharType="end"/>
      </w:r>
    </w:p>
    <w:p w14:paraId="4336A056" w14:textId="04B86B10" w:rsidR="00A43E67" w:rsidRDefault="00A43E67">
      <w:pPr>
        <w:pStyle w:val="TM2"/>
        <w:rPr>
          <w:rFonts w:eastAsiaTheme="minorEastAsia" w:cstheme="minorBidi"/>
          <w:b w:val="0"/>
          <w:bCs w:val="0"/>
          <w:noProof/>
          <w:sz w:val="22"/>
          <w:szCs w:val="22"/>
        </w:rPr>
      </w:pPr>
      <w:r>
        <w:rPr>
          <w:noProof/>
        </w:rPr>
        <w:t>18.3. Recours contentieux.</w:t>
      </w:r>
      <w:r>
        <w:rPr>
          <w:noProof/>
        </w:rPr>
        <w:tab/>
      </w:r>
      <w:r>
        <w:rPr>
          <w:noProof/>
        </w:rPr>
        <w:fldChar w:fldCharType="begin"/>
      </w:r>
      <w:r>
        <w:rPr>
          <w:noProof/>
        </w:rPr>
        <w:instrText xml:space="preserve"> PAGEREF _Toc207979792 \h </w:instrText>
      </w:r>
      <w:r>
        <w:rPr>
          <w:noProof/>
        </w:rPr>
      </w:r>
      <w:r>
        <w:rPr>
          <w:noProof/>
        </w:rPr>
        <w:fldChar w:fldCharType="separate"/>
      </w:r>
      <w:r>
        <w:rPr>
          <w:noProof/>
        </w:rPr>
        <w:t>30</w:t>
      </w:r>
      <w:r>
        <w:rPr>
          <w:noProof/>
        </w:rPr>
        <w:fldChar w:fldCharType="end"/>
      </w:r>
    </w:p>
    <w:p w14:paraId="21B1DFB5" w14:textId="3F05B834"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19. DROIT ET LANGUE APPLICABLES AU PRÉSENT ACCORD-CADRE.</w:t>
      </w:r>
      <w:r>
        <w:rPr>
          <w:noProof/>
        </w:rPr>
        <w:tab/>
      </w:r>
      <w:r>
        <w:rPr>
          <w:noProof/>
        </w:rPr>
        <w:fldChar w:fldCharType="begin"/>
      </w:r>
      <w:r>
        <w:rPr>
          <w:noProof/>
        </w:rPr>
        <w:instrText xml:space="preserve"> PAGEREF _Toc207979793 \h </w:instrText>
      </w:r>
      <w:r>
        <w:rPr>
          <w:noProof/>
        </w:rPr>
      </w:r>
      <w:r>
        <w:rPr>
          <w:noProof/>
        </w:rPr>
        <w:fldChar w:fldCharType="separate"/>
      </w:r>
      <w:r>
        <w:rPr>
          <w:noProof/>
        </w:rPr>
        <w:t>30</w:t>
      </w:r>
      <w:r>
        <w:rPr>
          <w:noProof/>
        </w:rPr>
        <w:fldChar w:fldCharType="end"/>
      </w:r>
    </w:p>
    <w:p w14:paraId="3FDFDBC6" w14:textId="1B0CD1BD" w:rsidR="00A43E67" w:rsidRDefault="00A43E67">
      <w:pPr>
        <w:pStyle w:val="TM2"/>
        <w:rPr>
          <w:rFonts w:eastAsiaTheme="minorEastAsia" w:cstheme="minorBidi"/>
          <w:b w:val="0"/>
          <w:bCs w:val="0"/>
          <w:noProof/>
          <w:sz w:val="22"/>
          <w:szCs w:val="22"/>
        </w:rPr>
      </w:pPr>
      <w:r>
        <w:rPr>
          <w:noProof/>
        </w:rPr>
        <w:t>19.1. Droit applicable</w:t>
      </w:r>
      <w:r>
        <w:rPr>
          <w:noProof/>
        </w:rPr>
        <w:tab/>
      </w:r>
      <w:r>
        <w:rPr>
          <w:noProof/>
        </w:rPr>
        <w:fldChar w:fldCharType="begin"/>
      </w:r>
      <w:r>
        <w:rPr>
          <w:noProof/>
        </w:rPr>
        <w:instrText xml:space="preserve"> PAGEREF _Toc207979794 \h </w:instrText>
      </w:r>
      <w:r>
        <w:rPr>
          <w:noProof/>
        </w:rPr>
      </w:r>
      <w:r>
        <w:rPr>
          <w:noProof/>
        </w:rPr>
        <w:fldChar w:fldCharType="separate"/>
      </w:r>
      <w:r>
        <w:rPr>
          <w:noProof/>
        </w:rPr>
        <w:t>30</w:t>
      </w:r>
      <w:r>
        <w:rPr>
          <w:noProof/>
        </w:rPr>
        <w:fldChar w:fldCharType="end"/>
      </w:r>
    </w:p>
    <w:p w14:paraId="09FF1D8A" w14:textId="2C20E88D" w:rsidR="00A43E67" w:rsidRDefault="00A43E67">
      <w:pPr>
        <w:pStyle w:val="TM2"/>
        <w:rPr>
          <w:rFonts w:eastAsiaTheme="minorEastAsia" w:cstheme="minorBidi"/>
          <w:b w:val="0"/>
          <w:bCs w:val="0"/>
          <w:noProof/>
          <w:sz w:val="22"/>
          <w:szCs w:val="22"/>
        </w:rPr>
      </w:pPr>
      <w:r w:rsidRPr="00705324">
        <w:rPr>
          <w:noProof/>
        </w:rPr>
        <w:t>19</w:t>
      </w:r>
      <w:r>
        <w:rPr>
          <w:noProof/>
        </w:rPr>
        <w:t>.2. Usage de la langue française.</w:t>
      </w:r>
      <w:r>
        <w:rPr>
          <w:noProof/>
        </w:rPr>
        <w:tab/>
      </w:r>
      <w:r>
        <w:rPr>
          <w:noProof/>
        </w:rPr>
        <w:fldChar w:fldCharType="begin"/>
      </w:r>
      <w:r>
        <w:rPr>
          <w:noProof/>
        </w:rPr>
        <w:instrText xml:space="preserve"> PAGEREF _Toc207979795 \h </w:instrText>
      </w:r>
      <w:r>
        <w:rPr>
          <w:noProof/>
        </w:rPr>
      </w:r>
      <w:r>
        <w:rPr>
          <w:noProof/>
        </w:rPr>
        <w:fldChar w:fldCharType="separate"/>
      </w:r>
      <w:r>
        <w:rPr>
          <w:noProof/>
        </w:rPr>
        <w:t>30</w:t>
      </w:r>
      <w:r>
        <w:rPr>
          <w:noProof/>
        </w:rPr>
        <w:fldChar w:fldCharType="end"/>
      </w:r>
    </w:p>
    <w:p w14:paraId="1B1CEC1C" w14:textId="12F86E54" w:rsidR="00A43E67" w:rsidRDefault="00A43E67">
      <w:pPr>
        <w:pStyle w:val="TM2"/>
        <w:rPr>
          <w:rFonts w:eastAsiaTheme="minorEastAsia" w:cstheme="minorBidi"/>
          <w:b w:val="0"/>
          <w:bCs w:val="0"/>
          <w:noProof/>
          <w:sz w:val="22"/>
          <w:szCs w:val="22"/>
        </w:rPr>
      </w:pPr>
      <w:r w:rsidRPr="00705324">
        <w:rPr>
          <w:noProof/>
        </w:rPr>
        <w:t>19</w:t>
      </w:r>
      <w:r>
        <w:rPr>
          <w:noProof/>
        </w:rPr>
        <w:t>.3. Monnaie.</w:t>
      </w:r>
      <w:r>
        <w:rPr>
          <w:noProof/>
        </w:rPr>
        <w:tab/>
      </w:r>
      <w:r>
        <w:rPr>
          <w:noProof/>
        </w:rPr>
        <w:fldChar w:fldCharType="begin"/>
      </w:r>
      <w:r>
        <w:rPr>
          <w:noProof/>
        </w:rPr>
        <w:instrText xml:space="preserve"> PAGEREF _Toc207979796 \h </w:instrText>
      </w:r>
      <w:r>
        <w:rPr>
          <w:noProof/>
        </w:rPr>
      </w:r>
      <w:r>
        <w:rPr>
          <w:noProof/>
        </w:rPr>
        <w:fldChar w:fldCharType="separate"/>
      </w:r>
      <w:r>
        <w:rPr>
          <w:noProof/>
        </w:rPr>
        <w:t>30</w:t>
      </w:r>
      <w:r>
        <w:rPr>
          <w:noProof/>
        </w:rPr>
        <w:fldChar w:fldCharType="end"/>
      </w:r>
    </w:p>
    <w:p w14:paraId="3F9AB1C2" w14:textId="012E0DBA"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ARTICLE 20 – DÉROGATIONS.</w:t>
      </w:r>
      <w:r>
        <w:rPr>
          <w:noProof/>
        </w:rPr>
        <w:tab/>
      </w:r>
      <w:r>
        <w:rPr>
          <w:noProof/>
        </w:rPr>
        <w:fldChar w:fldCharType="begin"/>
      </w:r>
      <w:r>
        <w:rPr>
          <w:noProof/>
        </w:rPr>
        <w:instrText xml:space="preserve"> PAGEREF _Toc207979797 \h </w:instrText>
      </w:r>
      <w:r>
        <w:rPr>
          <w:noProof/>
        </w:rPr>
      </w:r>
      <w:r>
        <w:rPr>
          <w:noProof/>
        </w:rPr>
        <w:fldChar w:fldCharType="separate"/>
      </w:r>
      <w:r>
        <w:rPr>
          <w:noProof/>
        </w:rPr>
        <w:t>30</w:t>
      </w:r>
      <w:r>
        <w:rPr>
          <w:noProof/>
        </w:rPr>
        <w:fldChar w:fldCharType="end"/>
      </w:r>
    </w:p>
    <w:p w14:paraId="2CA2332C" w14:textId="08FD62C1" w:rsidR="00A43E67" w:rsidRDefault="00A43E67">
      <w:pPr>
        <w:pStyle w:val="TM1"/>
        <w:rPr>
          <w:rFonts w:asciiTheme="minorHAnsi" w:eastAsiaTheme="minorEastAsia" w:hAnsiTheme="minorHAnsi" w:cstheme="minorBidi"/>
          <w:b w:val="0"/>
          <w:bCs w:val="0"/>
          <w:caps w:val="0"/>
          <w:noProof/>
          <w:sz w:val="22"/>
          <w:szCs w:val="22"/>
        </w:rPr>
      </w:pPr>
      <w:r w:rsidRPr="00705324">
        <w:rPr>
          <w:rFonts w:ascii="Arial" w:hAnsi="Arial" w:cs="Arial"/>
          <w:noProof/>
        </w:rPr>
        <w:t>ANNEXE : ANNEXE TECHNIQUE</w:t>
      </w:r>
      <w:r>
        <w:rPr>
          <w:noProof/>
        </w:rPr>
        <w:tab/>
      </w:r>
      <w:r>
        <w:rPr>
          <w:noProof/>
        </w:rPr>
        <w:fldChar w:fldCharType="begin"/>
      </w:r>
      <w:r>
        <w:rPr>
          <w:noProof/>
        </w:rPr>
        <w:instrText xml:space="preserve"> PAGEREF _Toc207979798 \h </w:instrText>
      </w:r>
      <w:r>
        <w:rPr>
          <w:noProof/>
        </w:rPr>
      </w:r>
      <w:r>
        <w:rPr>
          <w:noProof/>
        </w:rPr>
        <w:fldChar w:fldCharType="separate"/>
      </w:r>
      <w:r>
        <w:rPr>
          <w:noProof/>
        </w:rPr>
        <w:t>31</w:t>
      </w:r>
      <w:r>
        <w:rPr>
          <w:noProof/>
        </w:rPr>
        <w:fldChar w:fldCharType="end"/>
      </w:r>
    </w:p>
    <w:p w14:paraId="4F72FF80" w14:textId="01365C7D" w:rsidR="00096ED4" w:rsidRDefault="008B0309" w:rsidP="00C7548A">
      <w:r>
        <w:fldChar w:fldCharType="end"/>
      </w:r>
    </w:p>
    <w:p w14:paraId="09C0B42F" w14:textId="77777777" w:rsidR="00096ED4" w:rsidRPr="00E85775" w:rsidRDefault="00096ED4" w:rsidP="00C7548A"/>
    <w:p w14:paraId="40CD2B04" w14:textId="77777777" w:rsidR="00E85775" w:rsidRPr="00E85775" w:rsidRDefault="00E85775" w:rsidP="00C7548A"/>
    <w:p w14:paraId="19F81E49" w14:textId="42513D82" w:rsidR="00E85775" w:rsidRPr="00096ED4" w:rsidRDefault="00E85775" w:rsidP="009B5151">
      <w:pPr>
        <w:pStyle w:val="Titre1"/>
        <w:keepLines/>
        <w:numPr>
          <w:ilvl w:val="0"/>
          <w:numId w:val="0"/>
        </w:numPr>
        <w:spacing w:before="240" w:after="0"/>
      </w:pPr>
      <w:r w:rsidRPr="00E85775">
        <w:rPr>
          <w:sz w:val="28"/>
          <w:szCs w:val="32"/>
        </w:rPr>
        <w:br w:type="page"/>
      </w:r>
      <w:bookmarkStart w:id="2" w:name="_Toc449596220"/>
      <w:bookmarkStart w:id="3" w:name="_Toc507666575"/>
      <w:bookmarkStart w:id="4" w:name="_Toc50113946"/>
      <w:bookmarkStart w:id="5" w:name="_Toc207979725"/>
      <w:bookmarkEnd w:id="0"/>
      <w:r w:rsidRPr="00CD502D">
        <w:rPr>
          <w:rFonts w:ascii="Arial" w:hAnsi="Arial" w:cs="Arial"/>
          <w:sz w:val="22"/>
          <w:szCs w:val="22"/>
        </w:rPr>
        <w:lastRenderedPageBreak/>
        <w:t>ARTICLE 1 – PIÈCES CONTRACTUELLES</w:t>
      </w:r>
      <w:bookmarkEnd w:id="2"/>
      <w:r w:rsidRPr="00CD502D">
        <w:rPr>
          <w:rFonts w:ascii="Arial" w:hAnsi="Arial" w:cs="Arial"/>
          <w:sz w:val="22"/>
          <w:szCs w:val="22"/>
        </w:rPr>
        <w:t>.</w:t>
      </w:r>
      <w:bookmarkEnd w:id="3"/>
      <w:bookmarkEnd w:id="4"/>
      <w:bookmarkEnd w:id="5"/>
    </w:p>
    <w:p w14:paraId="5EAE8439" w14:textId="77777777" w:rsidR="00E85775" w:rsidRPr="00E85775" w:rsidRDefault="00E85775" w:rsidP="00C7548A"/>
    <w:p w14:paraId="68137744" w14:textId="77777777" w:rsidR="00965E92" w:rsidRPr="00965E92" w:rsidRDefault="00965E92" w:rsidP="00C7548A">
      <w:pPr>
        <w:rPr>
          <w:b/>
        </w:rPr>
      </w:pPr>
      <w:r w:rsidRPr="00965E92">
        <w:t>Les présents documents contractuels sont soumis au code de la commande publique</w:t>
      </w:r>
      <w:r w:rsidRPr="00965E92">
        <w:rPr>
          <w:b/>
        </w:rPr>
        <w:t>.</w:t>
      </w:r>
    </w:p>
    <w:p w14:paraId="4DD34F82" w14:textId="77777777" w:rsidR="00965E92" w:rsidRPr="00965E92" w:rsidRDefault="00965E92" w:rsidP="00C7548A"/>
    <w:p w14:paraId="3E9E05F8" w14:textId="77777777" w:rsidR="00965E92" w:rsidRPr="00965E92" w:rsidRDefault="0037147F" w:rsidP="00C7548A">
      <w:r>
        <w:t>L’accord-cadre</w:t>
      </w:r>
      <w:r w:rsidR="00965E92" w:rsidRPr="00965E92">
        <w:t xml:space="preserve"> est régi par les documents suivants qui, en cas de contradiction, prévalent dans l'ordre ci-après :</w:t>
      </w:r>
    </w:p>
    <w:p w14:paraId="4F57C978" w14:textId="77777777" w:rsidR="00965E92" w:rsidRPr="00965E92" w:rsidRDefault="00965E92" w:rsidP="00C7548A">
      <w:bookmarkStart w:id="6" w:name="_Toc116463715"/>
      <w:bookmarkStart w:id="7" w:name="_Ref194290952"/>
      <w:bookmarkStart w:id="8" w:name="_Ref194290967"/>
      <w:bookmarkStart w:id="9" w:name="_Toc228778920"/>
    </w:p>
    <w:p w14:paraId="765F9D94" w14:textId="718794EA" w:rsidR="006715AC" w:rsidRDefault="006715AC" w:rsidP="00BE3AB9">
      <w:pPr>
        <w:ind w:left="567" w:hanging="567"/>
      </w:pPr>
      <w:bookmarkStart w:id="10" w:name="_Ref194301465"/>
      <w:bookmarkStart w:id="11" w:name="_Ref194301596"/>
      <w:bookmarkStart w:id="12" w:name="_Toc228778922"/>
      <w:bookmarkStart w:id="13" w:name="_Toc293670165"/>
      <w:bookmarkEnd w:id="6"/>
      <w:bookmarkEnd w:id="7"/>
      <w:bookmarkEnd w:id="8"/>
      <w:bookmarkEnd w:id="9"/>
      <w:r w:rsidRPr="00E73B45">
        <w:rPr>
          <w:b/>
        </w:rPr>
        <w:t>1.1</w:t>
      </w:r>
      <w:r>
        <w:t xml:space="preserve"> </w:t>
      </w:r>
      <w:r w:rsidR="00BE3AB9">
        <w:tab/>
      </w:r>
      <w:r w:rsidR="00965E92" w:rsidRPr="00965E92">
        <w:t xml:space="preserve">Le présent cahier des clauses </w:t>
      </w:r>
      <w:r>
        <w:t xml:space="preserve">particulières </w:t>
      </w:r>
      <w:r w:rsidR="009949CF">
        <w:t xml:space="preserve">valant acte d’engagement </w:t>
      </w:r>
      <w:r>
        <w:t>(CC</w:t>
      </w:r>
      <w:r w:rsidR="00965E92" w:rsidRPr="00965E92">
        <w:t>P</w:t>
      </w:r>
      <w:bookmarkEnd w:id="10"/>
      <w:bookmarkEnd w:id="11"/>
      <w:bookmarkEnd w:id="12"/>
      <w:r w:rsidR="009949CF">
        <w:t xml:space="preserve"> valant AE</w:t>
      </w:r>
      <w:r w:rsidR="00965E92" w:rsidRPr="00965E92">
        <w:t>)</w:t>
      </w:r>
      <w:bookmarkEnd w:id="13"/>
      <w:r w:rsidR="00965E92" w:rsidRPr="00965E92">
        <w:t xml:space="preserve"> </w:t>
      </w:r>
      <w:r w:rsidR="009949CF">
        <w:t xml:space="preserve">et son annexe technique, </w:t>
      </w:r>
      <w:bookmarkStart w:id="14" w:name="_Toc228778923"/>
      <w:r>
        <w:t>signé</w:t>
      </w:r>
      <w:r w:rsidR="009F0863">
        <w:t>s</w:t>
      </w:r>
      <w:r>
        <w:t xml:space="preserve"> </w:t>
      </w:r>
      <w:r w:rsidR="003957B9" w:rsidRPr="00965E92">
        <w:t xml:space="preserve">par le titulaire et </w:t>
      </w:r>
      <w:r w:rsidR="003957B9">
        <w:t>l’acheteur*</w:t>
      </w:r>
      <w:r>
        <w:t>.</w:t>
      </w:r>
    </w:p>
    <w:p w14:paraId="4D2D2BF4" w14:textId="77777777" w:rsidR="00965E92" w:rsidRPr="00965E92" w:rsidRDefault="00965E92" w:rsidP="00BE3AB9">
      <w:pPr>
        <w:ind w:left="567" w:hanging="567"/>
      </w:pPr>
      <w:bookmarkStart w:id="15" w:name="_Toc228778931"/>
      <w:bookmarkEnd w:id="14"/>
    </w:p>
    <w:p w14:paraId="58FC0CC6" w14:textId="5E790C05" w:rsidR="00965E92" w:rsidRPr="00965E92" w:rsidRDefault="006715AC" w:rsidP="00BE3AB9">
      <w:pPr>
        <w:ind w:left="567" w:hanging="567"/>
      </w:pPr>
      <w:bookmarkStart w:id="16" w:name="_Toc293670167"/>
      <w:r w:rsidRPr="00E73B45">
        <w:rPr>
          <w:b/>
        </w:rPr>
        <w:t>1.2</w:t>
      </w:r>
      <w:r w:rsidR="00965E92" w:rsidRPr="00965E92">
        <w:t>.</w:t>
      </w:r>
      <w:r>
        <w:t xml:space="preserve"> </w:t>
      </w:r>
      <w:r w:rsidR="00BE3AB9">
        <w:tab/>
      </w:r>
      <w:r w:rsidR="00965E92" w:rsidRPr="00965E92">
        <w:t xml:space="preserve">Le cahier des clauses administratives générales </w:t>
      </w:r>
      <w:r w:rsidR="00745A69">
        <w:t>applicables aux</w:t>
      </w:r>
      <w:r w:rsidR="00965E92" w:rsidRPr="00965E92">
        <w:t xml:space="preserve"> marchés publics de </w:t>
      </w:r>
      <w:r w:rsidR="00745A69" w:rsidRPr="00745A69">
        <w:t>prestations intellectuelles</w:t>
      </w:r>
      <w:r w:rsidR="00965E92" w:rsidRPr="00745A69">
        <w:t xml:space="preserve"> </w:t>
      </w:r>
      <w:r w:rsidR="00965E92" w:rsidRPr="00965E92">
        <w:t>(CCAG</w:t>
      </w:r>
      <w:bookmarkEnd w:id="15"/>
      <w:bookmarkEnd w:id="16"/>
      <w:r w:rsidR="00745A69">
        <w:t>/PI)</w:t>
      </w:r>
      <w:r w:rsidR="00965E92" w:rsidRPr="00965E92">
        <w:t xml:space="preserve"> </w:t>
      </w:r>
      <w:r w:rsidR="003957B9" w:rsidRPr="003957B9">
        <w:t xml:space="preserve">approuvé par l'arrêté du 30 mars 2021 (non joint aux pièces </w:t>
      </w:r>
      <w:r w:rsidR="0037147F">
        <w:t>de l’accord-cadre</w:t>
      </w:r>
      <w:r w:rsidR="003957B9" w:rsidRPr="003957B9">
        <w:t xml:space="preserve"> mais dont le titulaire déclare avoir pris connaissance)</w:t>
      </w:r>
      <w:r w:rsidR="00965E92" w:rsidRPr="00965E92">
        <w:t xml:space="preserve">. </w:t>
      </w:r>
    </w:p>
    <w:p w14:paraId="5882FFAA" w14:textId="77777777" w:rsidR="00965E92" w:rsidRPr="00965E92" w:rsidRDefault="00965E92" w:rsidP="00BE3AB9">
      <w:pPr>
        <w:ind w:left="567" w:hanging="567"/>
      </w:pPr>
    </w:p>
    <w:p w14:paraId="349700A3" w14:textId="55D7F790" w:rsidR="00965E92" w:rsidRPr="00965E92" w:rsidRDefault="006715AC" w:rsidP="00BE3AB9">
      <w:pPr>
        <w:ind w:left="567" w:hanging="567"/>
      </w:pPr>
      <w:r w:rsidRPr="00E73B45">
        <w:rPr>
          <w:b/>
        </w:rPr>
        <w:t>1.3</w:t>
      </w:r>
      <w:r w:rsidR="00965E92" w:rsidRPr="00965E92">
        <w:t>.</w:t>
      </w:r>
      <w:r>
        <w:t xml:space="preserve"> </w:t>
      </w:r>
      <w:r w:rsidR="00BE3AB9">
        <w:tab/>
      </w:r>
      <w:r w:rsidR="00965E92" w:rsidRPr="00965E92">
        <w:t xml:space="preserve">L'offre technique du titulaire. </w:t>
      </w:r>
    </w:p>
    <w:p w14:paraId="20004BED" w14:textId="77777777" w:rsidR="00965E92" w:rsidRPr="00965E92" w:rsidRDefault="00965E92" w:rsidP="00C7548A"/>
    <w:p w14:paraId="3C9BEC0E" w14:textId="0FF714A9" w:rsidR="00F7579A" w:rsidRPr="00E85775" w:rsidRDefault="00965E92" w:rsidP="00C7548A">
      <w:r w:rsidRPr="00965E92">
        <w:t xml:space="preserve">* </w:t>
      </w:r>
      <w:r w:rsidR="006715AC" w:rsidRPr="006715AC">
        <w:t>Aucune valeur contractuelle n’est reconnue à tout autre document à caractère financier figurant dans l'offre du titulaire.</w:t>
      </w:r>
    </w:p>
    <w:p w14:paraId="44BBA230" w14:textId="77777777" w:rsidR="00E85775" w:rsidRPr="00CD502D" w:rsidRDefault="00E85775" w:rsidP="00CD502D">
      <w:pPr>
        <w:pStyle w:val="Titre1"/>
        <w:keepLines/>
        <w:numPr>
          <w:ilvl w:val="0"/>
          <w:numId w:val="0"/>
        </w:numPr>
        <w:spacing w:before="240" w:after="0"/>
        <w:rPr>
          <w:rFonts w:ascii="Arial" w:hAnsi="Arial" w:cs="Arial"/>
          <w:sz w:val="22"/>
          <w:szCs w:val="22"/>
        </w:rPr>
      </w:pPr>
      <w:bookmarkStart w:id="17" w:name="_Toc50113947"/>
      <w:bookmarkStart w:id="18" w:name="_Toc207979726"/>
      <w:bookmarkStart w:id="19" w:name="_Toc449596221"/>
      <w:bookmarkStart w:id="20" w:name="_Toc507666576"/>
      <w:r w:rsidRPr="00CD502D">
        <w:rPr>
          <w:rFonts w:ascii="Arial" w:hAnsi="Arial" w:cs="Arial"/>
          <w:sz w:val="22"/>
          <w:szCs w:val="22"/>
        </w:rPr>
        <w:t xml:space="preserve">ARTICLE 2 - </w:t>
      </w:r>
      <w:bookmarkStart w:id="21" w:name="_Toc293670170"/>
      <w:r w:rsidRPr="00CD502D">
        <w:rPr>
          <w:rFonts w:ascii="Arial" w:hAnsi="Arial" w:cs="Arial"/>
          <w:sz w:val="22"/>
          <w:szCs w:val="22"/>
        </w:rPr>
        <w:t xml:space="preserve">OBJET </w:t>
      </w:r>
      <w:r w:rsidR="0037147F" w:rsidRPr="00CD502D">
        <w:rPr>
          <w:rFonts w:ascii="Arial" w:hAnsi="Arial" w:cs="Arial"/>
          <w:sz w:val="22"/>
          <w:szCs w:val="22"/>
        </w:rPr>
        <w:t>DE L’ACCORD-CADRE</w:t>
      </w:r>
      <w:r w:rsidRPr="00CD502D">
        <w:rPr>
          <w:rFonts w:ascii="Arial" w:hAnsi="Arial" w:cs="Arial"/>
          <w:sz w:val="22"/>
          <w:szCs w:val="22"/>
        </w:rPr>
        <w:t>.</w:t>
      </w:r>
      <w:bookmarkEnd w:id="17"/>
      <w:bookmarkEnd w:id="18"/>
      <w:r w:rsidRPr="00CD502D">
        <w:rPr>
          <w:rFonts w:ascii="Arial" w:hAnsi="Arial" w:cs="Arial"/>
          <w:sz w:val="22"/>
          <w:szCs w:val="22"/>
        </w:rPr>
        <w:t xml:space="preserve"> </w:t>
      </w:r>
      <w:bookmarkEnd w:id="19"/>
      <w:bookmarkEnd w:id="20"/>
      <w:bookmarkEnd w:id="21"/>
    </w:p>
    <w:p w14:paraId="6D49E1C1" w14:textId="77777777" w:rsidR="00E85775" w:rsidRPr="00E85775" w:rsidRDefault="00E85775" w:rsidP="00C7548A"/>
    <w:p w14:paraId="46668C8B" w14:textId="245B9381" w:rsidR="00E85775" w:rsidRPr="00E85775" w:rsidRDefault="00745A69" w:rsidP="00C7548A">
      <w:r>
        <w:t xml:space="preserve">Le présent </w:t>
      </w:r>
      <w:r w:rsidR="0037147F">
        <w:t>accord-cadre</w:t>
      </w:r>
      <w:r>
        <w:t xml:space="preserve"> a pour objet </w:t>
      </w:r>
      <w:r w:rsidR="0037147F">
        <w:t xml:space="preserve">l’observatoire </w:t>
      </w:r>
      <w:r w:rsidR="00122860">
        <w:t>2026-02</w:t>
      </w:r>
      <w:r w:rsidR="0037147F" w:rsidRPr="0037147F">
        <w:t xml:space="preserve"> intitulé : </w:t>
      </w:r>
      <w:r w:rsidR="00BE3AB9">
        <w:t>o</w:t>
      </w:r>
      <w:r w:rsidR="00122860">
        <w:t xml:space="preserve">bservatoire de </w:t>
      </w:r>
      <w:r w:rsidR="000542E1">
        <w:t>l’Afrique</w:t>
      </w:r>
      <w:r w:rsidR="00122860">
        <w:t xml:space="preserve"> de l’</w:t>
      </w:r>
      <w:r w:rsidR="00336D64">
        <w:t>E</w:t>
      </w:r>
      <w:r w:rsidR="00122860">
        <w:t>st, centrale et australe</w:t>
      </w:r>
      <w:r w:rsidR="00A3670A">
        <w:t>.</w:t>
      </w:r>
    </w:p>
    <w:p w14:paraId="672A8BD5" w14:textId="77777777" w:rsidR="00E85775" w:rsidRPr="00E85775" w:rsidRDefault="00E85775" w:rsidP="00C7548A"/>
    <w:p w14:paraId="66435453" w14:textId="3ADCABBC" w:rsidR="00E85775" w:rsidRPr="00E85775" w:rsidRDefault="00E85775" w:rsidP="00034DA1">
      <w:r w:rsidRPr="00E85775">
        <w:t xml:space="preserve">Les prestations sont </w:t>
      </w:r>
      <w:r w:rsidR="00745A69">
        <w:t>détaillées en annexe</w:t>
      </w:r>
      <w:r w:rsidR="009949CF">
        <w:t xml:space="preserve"> du présent CCP valant AE</w:t>
      </w:r>
      <w:r w:rsidR="00552018">
        <w:t>.</w:t>
      </w:r>
    </w:p>
    <w:p w14:paraId="0208AC4B" w14:textId="4F629B01" w:rsidR="00E85775" w:rsidRPr="00CD502D" w:rsidRDefault="00E85775" w:rsidP="00CD502D">
      <w:pPr>
        <w:pStyle w:val="Titre1"/>
        <w:keepLines/>
        <w:numPr>
          <w:ilvl w:val="0"/>
          <w:numId w:val="0"/>
        </w:numPr>
        <w:spacing w:before="240" w:after="0"/>
        <w:rPr>
          <w:rFonts w:ascii="Arial" w:hAnsi="Arial" w:cs="Arial"/>
          <w:sz w:val="22"/>
          <w:szCs w:val="22"/>
        </w:rPr>
      </w:pPr>
      <w:bookmarkStart w:id="22" w:name="_Toc507666578"/>
      <w:bookmarkStart w:id="23" w:name="_Toc50113948"/>
      <w:bookmarkStart w:id="24" w:name="_Toc207979727"/>
      <w:r w:rsidRPr="00CD502D">
        <w:rPr>
          <w:rFonts w:ascii="Arial" w:hAnsi="Arial" w:cs="Arial"/>
          <w:sz w:val="22"/>
          <w:szCs w:val="22"/>
        </w:rPr>
        <w:t xml:space="preserve">ARTICLE 3 </w:t>
      </w:r>
      <w:r w:rsidR="00745A69" w:rsidRPr="00CD502D">
        <w:rPr>
          <w:rFonts w:ascii="Arial" w:hAnsi="Arial" w:cs="Arial"/>
          <w:sz w:val="22"/>
          <w:szCs w:val="22"/>
        </w:rPr>
        <w:t>–</w:t>
      </w:r>
      <w:bookmarkEnd w:id="22"/>
      <w:bookmarkEnd w:id="23"/>
      <w:r w:rsidR="00745A69" w:rsidRPr="00CD502D">
        <w:rPr>
          <w:rFonts w:ascii="Arial" w:hAnsi="Arial" w:cs="Arial"/>
          <w:sz w:val="22"/>
          <w:szCs w:val="22"/>
        </w:rPr>
        <w:t xml:space="preserve"> DURÉE ET DÉLAIS D’EXÉCUTION </w:t>
      </w:r>
      <w:r w:rsidR="0037147F" w:rsidRPr="00CD502D">
        <w:rPr>
          <w:rFonts w:ascii="Arial" w:hAnsi="Arial" w:cs="Arial"/>
          <w:sz w:val="22"/>
          <w:szCs w:val="22"/>
        </w:rPr>
        <w:t>DE L’ACCORD-CADRE</w:t>
      </w:r>
      <w:bookmarkEnd w:id="24"/>
    </w:p>
    <w:p w14:paraId="21C668C1" w14:textId="047BFF21" w:rsidR="00E85775" w:rsidRDefault="00E85775" w:rsidP="00C7548A"/>
    <w:p w14:paraId="5C43E8D9" w14:textId="70D5E79A" w:rsidR="00086267" w:rsidRPr="006150AA" w:rsidRDefault="00086267" w:rsidP="00086267">
      <w:pPr>
        <w:pStyle w:val="Titre2"/>
      </w:pPr>
      <w:bookmarkStart w:id="25" w:name="_Toc207979728"/>
      <w:r w:rsidRPr="006150AA">
        <w:t xml:space="preserve">3.1. </w:t>
      </w:r>
      <w:r>
        <w:rPr>
          <w:lang w:val="fr-FR"/>
        </w:rPr>
        <w:t>Forme de l’</w:t>
      </w:r>
      <w:r>
        <w:t>accord-cadre</w:t>
      </w:r>
      <w:r w:rsidRPr="006150AA">
        <w:t>.</w:t>
      </w:r>
      <w:bookmarkEnd w:id="25"/>
    </w:p>
    <w:p w14:paraId="15B8AA1F" w14:textId="77777777" w:rsidR="00086267" w:rsidRDefault="00086267" w:rsidP="00C7548A"/>
    <w:p w14:paraId="53AD6DBC" w14:textId="77777777" w:rsidR="0037147F" w:rsidRPr="00E85775" w:rsidRDefault="0037147F" w:rsidP="0037147F">
      <w:r w:rsidRPr="00E85775">
        <w:t xml:space="preserve">L’accord-cadre comprend des prestations forfaitaires et </w:t>
      </w:r>
      <w:r w:rsidRPr="0018326A">
        <w:t>des prestations à bons</w:t>
      </w:r>
      <w:r w:rsidRPr="00E85775">
        <w:t xml:space="preserve"> de commande, conformément aux dispositions des articles R. 2162-1 à R. 2162-6 et R. 2162-13 à R. 2162-14 du code de la commande publique.</w:t>
      </w:r>
    </w:p>
    <w:p w14:paraId="5CA5F905" w14:textId="77777777" w:rsidR="00D456B1" w:rsidRDefault="00D456B1" w:rsidP="009F0863"/>
    <w:p w14:paraId="0E9EDA27" w14:textId="2C79AC4A" w:rsidR="00086267" w:rsidRDefault="00086267" w:rsidP="009F0863">
      <w:pPr>
        <w:rPr>
          <w:rFonts w:cs="Arial"/>
        </w:rPr>
      </w:pPr>
      <w:r w:rsidRPr="00B61E47">
        <w:rPr>
          <w:rFonts w:cs="Arial"/>
        </w:rPr>
        <w:t xml:space="preserve">Il comporte </w:t>
      </w:r>
      <w:r>
        <w:rPr>
          <w:rFonts w:cs="Arial"/>
        </w:rPr>
        <w:t>deux</w:t>
      </w:r>
      <w:r w:rsidRPr="00B61E47">
        <w:rPr>
          <w:rFonts w:cs="Arial"/>
        </w:rPr>
        <w:t xml:space="preserve"> (</w:t>
      </w:r>
      <w:r>
        <w:rPr>
          <w:rFonts w:cs="Arial"/>
        </w:rPr>
        <w:t>2</w:t>
      </w:r>
      <w:r w:rsidRPr="00B61E47">
        <w:rPr>
          <w:rFonts w:cs="Arial"/>
        </w:rPr>
        <w:t>) postes forfaitaires (PF) et un (1) poste à bons de commande (PBC), précisés à l’article 4 du présent document.</w:t>
      </w:r>
    </w:p>
    <w:p w14:paraId="52D35AAA" w14:textId="77777777" w:rsidR="009F0863" w:rsidRPr="00B61E47" w:rsidRDefault="009F0863" w:rsidP="009F0863"/>
    <w:p w14:paraId="211EC0C4" w14:textId="741F1EF5" w:rsidR="0037147F" w:rsidRDefault="0037147F" w:rsidP="009F0863">
      <w:r>
        <w:t>La personne publique passe</w:t>
      </w:r>
      <w:r w:rsidRPr="00E85775">
        <w:t xml:space="preserve"> </w:t>
      </w:r>
      <w:r w:rsidRPr="0018326A">
        <w:t>les bons</w:t>
      </w:r>
      <w:r w:rsidRPr="00E85775">
        <w:t xml:space="preserve"> de commande au fur et à mesure de ses besoins</w:t>
      </w:r>
      <w:r w:rsidR="009949CF">
        <w:t>.</w:t>
      </w:r>
    </w:p>
    <w:p w14:paraId="33D5E69C" w14:textId="77777777" w:rsidR="0037147F" w:rsidRDefault="0037147F" w:rsidP="00C7548A"/>
    <w:p w14:paraId="2FFCCC7C" w14:textId="68367721" w:rsidR="00E85775" w:rsidRPr="006150AA" w:rsidRDefault="00E85775" w:rsidP="000F7994">
      <w:pPr>
        <w:pStyle w:val="Titre2"/>
      </w:pPr>
      <w:bookmarkStart w:id="26" w:name="_Toc507666579"/>
      <w:bookmarkStart w:id="27" w:name="_Toc50109503"/>
      <w:bookmarkStart w:id="28" w:name="_Toc50113949"/>
      <w:bookmarkStart w:id="29" w:name="_Toc207979729"/>
      <w:bookmarkStart w:id="30" w:name="_Toc228779020"/>
      <w:r w:rsidRPr="006150AA">
        <w:t>3.</w:t>
      </w:r>
      <w:r w:rsidR="00086267">
        <w:rPr>
          <w:lang w:val="fr-FR"/>
        </w:rPr>
        <w:t>2</w:t>
      </w:r>
      <w:r w:rsidRPr="006150AA">
        <w:t xml:space="preserve">. Durée </w:t>
      </w:r>
      <w:r w:rsidR="00DC76B9">
        <w:rPr>
          <w:lang w:val="fr-FR"/>
        </w:rPr>
        <w:t>de validité de l’</w:t>
      </w:r>
      <w:r w:rsidR="0037147F">
        <w:t>accord-cadre</w:t>
      </w:r>
      <w:r w:rsidRPr="006150AA">
        <w:t>.</w:t>
      </w:r>
      <w:bookmarkEnd w:id="26"/>
      <w:bookmarkEnd w:id="27"/>
      <w:bookmarkEnd w:id="28"/>
      <w:bookmarkEnd w:id="29"/>
    </w:p>
    <w:p w14:paraId="103D7469" w14:textId="77777777" w:rsidR="00E85775" w:rsidRPr="00E85775" w:rsidRDefault="00E85775" w:rsidP="00C7548A"/>
    <w:p w14:paraId="20A79EF0" w14:textId="77777777" w:rsidR="00DC76B9" w:rsidRPr="00DC76B9" w:rsidRDefault="00DC76B9" w:rsidP="00DC76B9">
      <w:r w:rsidRPr="00DC76B9">
        <w:t xml:space="preserve">La durée de validité de l’accord-cadre est la durée pendant </w:t>
      </w:r>
      <w:r w:rsidRPr="00D77C81">
        <w:t>laquelle les bons</w:t>
      </w:r>
      <w:r w:rsidRPr="00DC76B9">
        <w:t xml:space="preserve"> de commande peuvent être émis.</w:t>
      </w:r>
    </w:p>
    <w:p w14:paraId="598918E7" w14:textId="77777777" w:rsidR="00DC76B9" w:rsidRPr="00DC76B9" w:rsidRDefault="00DC76B9" w:rsidP="00DC76B9"/>
    <w:p w14:paraId="7B8D4D33" w14:textId="6F8FDDE9" w:rsidR="00DC76B9" w:rsidRDefault="00DC76B9" w:rsidP="00DC76B9">
      <w:pPr>
        <w:rPr>
          <w:color w:val="000000" w:themeColor="text1"/>
        </w:rPr>
      </w:pPr>
      <w:r w:rsidRPr="00DC76B9">
        <w:t xml:space="preserve">Cette durée </w:t>
      </w:r>
      <w:r w:rsidRPr="00DC76B9">
        <w:rPr>
          <w:color w:val="000000" w:themeColor="text1"/>
        </w:rPr>
        <w:t xml:space="preserve">est de </w:t>
      </w:r>
      <w:r w:rsidR="0012794E">
        <w:rPr>
          <w:color w:val="000000" w:themeColor="text1"/>
        </w:rPr>
        <w:t>douze</w:t>
      </w:r>
      <w:r w:rsidR="0012794E" w:rsidRPr="00482E0A">
        <w:rPr>
          <w:color w:val="000000" w:themeColor="text1"/>
        </w:rPr>
        <w:t xml:space="preserve"> </w:t>
      </w:r>
      <w:r w:rsidRPr="00482E0A">
        <w:rPr>
          <w:color w:val="000000" w:themeColor="text1"/>
        </w:rPr>
        <w:t>(</w:t>
      </w:r>
      <w:r w:rsidR="0012794E">
        <w:rPr>
          <w:color w:val="000000" w:themeColor="text1"/>
        </w:rPr>
        <w:t>12</w:t>
      </w:r>
      <w:r w:rsidR="009B0709" w:rsidRPr="00482E0A">
        <w:rPr>
          <w:color w:val="000000" w:themeColor="text1"/>
        </w:rPr>
        <w:t>)</w:t>
      </w:r>
      <w:r w:rsidR="00167E76" w:rsidRPr="00DC76B9">
        <w:rPr>
          <w:color w:val="000000" w:themeColor="text1"/>
        </w:rPr>
        <w:t xml:space="preserve"> </w:t>
      </w:r>
      <w:r w:rsidRPr="00DC76B9">
        <w:rPr>
          <w:color w:val="000000" w:themeColor="text1"/>
        </w:rPr>
        <w:t>mois à compter de la date de notification de l’accord-cadre. Il est reconduit tacitement deux (2) fois par périodes consécutives de douze (12) mois, sauf dénonciation par la personne publique.</w:t>
      </w:r>
    </w:p>
    <w:p w14:paraId="1F0E917A" w14:textId="77777777" w:rsidR="005C78C8" w:rsidRDefault="005C78C8" w:rsidP="00C7548A">
      <w:pPr>
        <w:rPr>
          <w:color w:val="000000" w:themeColor="text1"/>
        </w:rPr>
      </w:pPr>
    </w:p>
    <w:p w14:paraId="76D7A452" w14:textId="59EE1E55" w:rsidR="00E85775" w:rsidRDefault="00DC76B9" w:rsidP="00C7548A">
      <w:r w:rsidRPr="00DC76B9">
        <w:rPr>
          <w:color w:val="000000" w:themeColor="text1"/>
        </w:rPr>
        <w:t>En cas de non-reconduction</w:t>
      </w:r>
      <w:r w:rsidRPr="00DC76B9">
        <w:t xml:space="preserve">, le titulaire </w:t>
      </w:r>
      <w:r>
        <w:t>de l’accord-cadre</w:t>
      </w:r>
      <w:r w:rsidR="00D77C81">
        <w:t xml:space="preserve"> en est informé par courriel</w:t>
      </w:r>
      <w:r w:rsidRPr="00DC76B9">
        <w:t xml:space="preserve"> avec accusé réception, </w:t>
      </w:r>
      <w:r w:rsidRPr="00DC76B9">
        <w:rPr>
          <w:color w:val="000000" w:themeColor="text1"/>
        </w:rPr>
        <w:t xml:space="preserve">deux (2) mois </w:t>
      </w:r>
      <w:r w:rsidRPr="00DC76B9">
        <w:t>avant la date de reconduction</w:t>
      </w:r>
      <w:r>
        <w:t>.</w:t>
      </w:r>
    </w:p>
    <w:p w14:paraId="49C7D54D" w14:textId="77777777" w:rsidR="00D44E84" w:rsidRDefault="00D44E84" w:rsidP="00C7548A"/>
    <w:p w14:paraId="124EBA06" w14:textId="0C8520D5" w:rsidR="00D44E84" w:rsidRPr="00E85775" w:rsidRDefault="00D44E84" w:rsidP="00D44E84">
      <w:pPr>
        <w:pStyle w:val="Titre2"/>
      </w:pPr>
      <w:bookmarkStart w:id="31" w:name="_Toc507666591"/>
      <w:bookmarkStart w:id="32" w:name="_Toc50109513"/>
      <w:bookmarkStart w:id="33" w:name="_Toc50113959"/>
      <w:bookmarkStart w:id="34" w:name="_Toc80794602"/>
      <w:bookmarkStart w:id="35" w:name="_Toc207979730"/>
      <w:r w:rsidRPr="00E85775">
        <w:t>3.</w:t>
      </w:r>
      <w:r w:rsidR="00086267">
        <w:rPr>
          <w:lang w:val="fr-FR"/>
        </w:rPr>
        <w:t>3</w:t>
      </w:r>
      <w:r w:rsidRPr="00E85775">
        <w:t xml:space="preserve">. Durée maximum d’exécution </w:t>
      </w:r>
      <w:r w:rsidRPr="00D77C81">
        <w:t>des bons</w:t>
      </w:r>
      <w:r w:rsidRPr="00E85775">
        <w:t xml:space="preserve"> de commande.</w:t>
      </w:r>
      <w:bookmarkEnd w:id="31"/>
      <w:bookmarkEnd w:id="32"/>
      <w:bookmarkEnd w:id="33"/>
      <w:bookmarkEnd w:id="34"/>
      <w:bookmarkEnd w:id="35"/>
      <w:r w:rsidRPr="00E85775">
        <w:t xml:space="preserve"> </w:t>
      </w:r>
    </w:p>
    <w:p w14:paraId="714343DB" w14:textId="77777777" w:rsidR="00D44E84" w:rsidRPr="00E85775" w:rsidRDefault="00D44E84" w:rsidP="00D44E84"/>
    <w:p w14:paraId="57FC768A" w14:textId="40DA8124" w:rsidR="00D44E84" w:rsidRPr="00E85775" w:rsidRDefault="00D44E84" w:rsidP="00D44E84">
      <w:r w:rsidRPr="00D77C81">
        <w:t>Les bons</w:t>
      </w:r>
      <w:r w:rsidRPr="00E85775">
        <w:t xml:space="preserve"> de commande émis par la personne publique </w:t>
      </w:r>
      <w:r>
        <w:t>peuvent</w:t>
      </w:r>
      <w:r w:rsidRPr="00E85775">
        <w:t xml:space="preserve"> être notifiés au titulaire pendant toute la durée de validité de l’accord-cadre. Passé ce délai, aucun bon de commande ne </w:t>
      </w:r>
      <w:r>
        <w:t>peut</w:t>
      </w:r>
      <w:r w:rsidRPr="00E85775">
        <w:t xml:space="preserve"> être notifié. Toutefois, les bons de commande déjà notifiés s’exécutent jusqu’à leur terme. Leur durée d’exécution ne saurait dépasser de plus de </w:t>
      </w:r>
      <w:r w:rsidRPr="00D77C81">
        <w:rPr>
          <w:color w:val="000000" w:themeColor="text1"/>
        </w:rPr>
        <w:t>six (6)</w:t>
      </w:r>
      <w:r w:rsidRPr="00D44E84">
        <w:rPr>
          <w:color w:val="000000" w:themeColor="text1"/>
        </w:rPr>
        <w:t xml:space="preserve"> </w:t>
      </w:r>
      <w:r w:rsidRPr="00E85775">
        <w:t>mois la date de fin de validité de l’accord-cadre.</w:t>
      </w:r>
    </w:p>
    <w:p w14:paraId="72F1B0ED" w14:textId="77777777" w:rsidR="0008280A" w:rsidRDefault="0008280A" w:rsidP="00D44E84"/>
    <w:p w14:paraId="3D1D7A85" w14:textId="6A4937CF" w:rsidR="0008280A" w:rsidRPr="00E85775" w:rsidRDefault="0008280A" w:rsidP="0008280A">
      <w:pPr>
        <w:pStyle w:val="Titre2"/>
      </w:pPr>
      <w:bookmarkStart w:id="36" w:name="_Toc507666592"/>
      <w:bookmarkStart w:id="37" w:name="_Toc50109514"/>
      <w:bookmarkStart w:id="38" w:name="_Toc50113960"/>
      <w:bookmarkStart w:id="39" w:name="_Toc80794603"/>
      <w:bookmarkStart w:id="40" w:name="_Toc206485204"/>
      <w:bookmarkStart w:id="41" w:name="_Toc207979731"/>
      <w:r w:rsidRPr="00E85775">
        <w:t>3.</w:t>
      </w:r>
      <w:r w:rsidR="00086267">
        <w:rPr>
          <w:lang w:val="fr-FR"/>
        </w:rPr>
        <w:t>4</w:t>
      </w:r>
      <w:r w:rsidRPr="00E85775">
        <w:t>. Modalité d'émission des bons de commande.</w:t>
      </w:r>
      <w:bookmarkEnd w:id="36"/>
      <w:bookmarkEnd w:id="37"/>
      <w:bookmarkEnd w:id="38"/>
      <w:bookmarkEnd w:id="39"/>
      <w:bookmarkEnd w:id="40"/>
      <w:bookmarkEnd w:id="41"/>
      <w:r w:rsidRPr="00E85775">
        <w:t xml:space="preserve"> </w:t>
      </w:r>
    </w:p>
    <w:p w14:paraId="2EF21510" w14:textId="77777777" w:rsidR="0008280A" w:rsidRPr="00E85775" w:rsidRDefault="0008280A" w:rsidP="0008280A"/>
    <w:p w14:paraId="181ECB00" w14:textId="15EEF564" w:rsidR="0008280A" w:rsidRPr="00E85775" w:rsidRDefault="0008280A" w:rsidP="0008280A">
      <w:r w:rsidRPr="00E73B45">
        <w:rPr>
          <w:b/>
        </w:rPr>
        <w:t>3.</w:t>
      </w:r>
      <w:r w:rsidR="00086267">
        <w:rPr>
          <w:b/>
        </w:rPr>
        <w:t>4</w:t>
      </w:r>
      <w:r w:rsidRPr="00E73B45">
        <w:rPr>
          <w:b/>
        </w:rPr>
        <w:t>.1</w:t>
      </w:r>
      <w:r w:rsidRPr="00E85775">
        <w:t xml:space="preserve">. Dispositions générales. </w:t>
      </w:r>
    </w:p>
    <w:p w14:paraId="705E7DB6" w14:textId="77777777" w:rsidR="0008280A" w:rsidRPr="00E85775" w:rsidRDefault="0008280A" w:rsidP="0008280A">
      <w:r w:rsidRPr="00E85775">
        <w:t xml:space="preserve"> </w:t>
      </w:r>
    </w:p>
    <w:p w14:paraId="32C88C43" w14:textId="5FF99BE0" w:rsidR="00F346D9" w:rsidRDefault="0008280A" w:rsidP="0008280A">
      <w:r w:rsidRPr="00E85775">
        <w:t>La personne habilitée à établir les</w:t>
      </w:r>
      <w:r>
        <w:t xml:space="preserve"> bons de commande est l’acheteur </w:t>
      </w:r>
      <w:r w:rsidRPr="00E85775">
        <w:t>ou son représentant dûment habilité.</w:t>
      </w:r>
    </w:p>
    <w:p w14:paraId="52B9C679" w14:textId="77777777" w:rsidR="0008280A" w:rsidRPr="00E85775" w:rsidRDefault="0008280A" w:rsidP="0008280A"/>
    <w:p w14:paraId="3BFFEB85" w14:textId="0B48B41B" w:rsidR="0008280A" w:rsidRPr="00E85775" w:rsidRDefault="0008280A" w:rsidP="0008280A">
      <w:r w:rsidRPr="00E73B45">
        <w:rPr>
          <w:b/>
        </w:rPr>
        <w:t>3.</w:t>
      </w:r>
      <w:r w:rsidR="004730B4">
        <w:rPr>
          <w:b/>
        </w:rPr>
        <w:t>4</w:t>
      </w:r>
      <w:r w:rsidRPr="00E73B45">
        <w:rPr>
          <w:b/>
        </w:rPr>
        <w:t>.2</w:t>
      </w:r>
      <w:r w:rsidRPr="00E85775">
        <w:t>. Les bons de commande comportent :</w:t>
      </w:r>
    </w:p>
    <w:p w14:paraId="34E63D88"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les</w:t>
      </w:r>
      <w:proofErr w:type="gramEnd"/>
      <w:r w:rsidRPr="00E85775">
        <w:t xml:space="preserve"> nom et adresse du titulaire ;</w:t>
      </w:r>
    </w:p>
    <w:p w14:paraId="7FD3613F"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lastRenderedPageBreak/>
        <w:t>un</w:t>
      </w:r>
      <w:proofErr w:type="gramEnd"/>
      <w:r w:rsidRPr="00E85775">
        <w:t xml:space="preserve"> identifiant et une date ;</w:t>
      </w:r>
    </w:p>
    <w:p w14:paraId="6B469BBB"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la</w:t>
      </w:r>
      <w:proofErr w:type="gramEnd"/>
      <w:r w:rsidRPr="00E85775">
        <w:t xml:space="preserve"> référence de l’accord-cadre (numéro) ;</w:t>
      </w:r>
    </w:p>
    <w:p w14:paraId="0ED139DE"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w:t>
      </w:r>
      <w:proofErr w:type="gramEnd"/>
      <w:r w:rsidRPr="00E85775">
        <w:t xml:space="preserve"> numéro du bon de commande ;</w:t>
      </w:r>
    </w:p>
    <w:p w14:paraId="0BA5A08A"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w:t>
      </w:r>
      <w:proofErr w:type="gramEnd"/>
      <w:r w:rsidRPr="00E85775">
        <w:t xml:space="preserve"> service émetteur du bon de commande ;</w:t>
      </w:r>
    </w:p>
    <w:p w14:paraId="6C0C8C05"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la</w:t>
      </w:r>
      <w:proofErr w:type="gramEnd"/>
      <w:r w:rsidRPr="00E85775">
        <w:t xml:space="preserve"> désignation des prestations ou fournitures commandées (par référence </w:t>
      </w:r>
      <w:r w:rsidR="00782E6B">
        <w:t>aux montants</w:t>
      </w:r>
      <w:r w:rsidR="00782E6B" w:rsidRPr="00172600">
        <w:t xml:space="preserve"> d</w:t>
      </w:r>
      <w:r w:rsidR="00782E6B">
        <w:t>u CCP valant AE</w:t>
      </w:r>
      <w:r w:rsidRPr="00E85775">
        <w:t>) ;</w:t>
      </w:r>
    </w:p>
    <w:p w14:paraId="38649D5E"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les</w:t>
      </w:r>
      <w:proofErr w:type="gramEnd"/>
      <w:r w:rsidRPr="00E85775">
        <w:t xml:space="preserve"> quantités commandées ;</w:t>
      </w:r>
    </w:p>
    <w:p w14:paraId="06F5FB3D"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w:t>
      </w:r>
      <w:proofErr w:type="gramEnd"/>
      <w:r w:rsidRPr="00E85775">
        <w:t xml:space="preserve"> prix unitaire hors taxe (par référence </w:t>
      </w:r>
      <w:r w:rsidR="00782E6B">
        <w:t>aux montants</w:t>
      </w:r>
      <w:r w:rsidR="00782E6B" w:rsidRPr="00172600">
        <w:t xml:space="preserve"> d</w:t>
      </w:r>
      <w:r w:rsidR="00782E6B">
        <w:t>u CCP valant AE</w:t>
      </w:r>
      <w:r w:rsidRPr="00E85775">
        <w:t>) ;</w:t>
      </w:r>
    </w:p>
    <w:p w14:paraId="25B40FB4"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w:t>
      </w:r>
      <w:proofErr w:type="gramEnd"/>
      <w:r w:rsidRPr="00E85775">
        <w:t xml:space="preserve"> montant hors taxes des prestations ou fournitures ;</w:t>
      </w:r>
    </w:p>
    <w:p w14:paraId="07CB3D3E"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w:t>
      </w:r>
      <w:proofErr w:type="gramEnd"/>
      <w:r w:rsidRPr="00E85775">
        <w:t xml:space="preserve"> taux et le montant des taxes appliqués au montant des prestations ou fournitures ;</w:t>
      </w:r>
    </w:p>
    <w:p w14:paraId="1AF926A1"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w:t>
      </w:r>
      <w:proofErr w:type="gramEnd"/>
      <w:r w:rsidRPr="00E85775">
        <w:t xml:space="preserve"> montant toutes taxes comprises des prestations ou fournitures ;</w:t>
      </w:r>
    </w:p>
    <w:p w14:paraId="634B9D51" w14:textId="57C16391"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la</w:t>
      </w:r>
      <w:proofErr w:type="gramEnd"/>
      <w:r w:rsidRPr="00E85775">
        <w:t xml:space="preserve"> date </w:t>
      </w:r>
      <w:r w:rsidR="007631A7">
        <w:t xml:space="preserve">de livraison </w:t>
      </w:r>
      <w:r w:rsidRPr="00E85775">
        <w:t>et/ou le délai</w:t>
      </w:r>
      <w:r>
        <w:t xml:space="preserve"> </w:t>
      </w:r>
      <w:r w:rsidR="007631A7">
        <w:t>d’exécution</w:t>
      </w:r>
      <w:r w:rsidR="007B2255">
        <w:t xml:space="preserve"> des prestations</w:t>
      </w:r>
      <w:r w:rsidR="007631A7">
        <w:t xml:space="preserve"> </w:t>
      </w:r>
      <w:r w:rsidRPr="00E85775">
        <w:t>;</w:t>
      </w:r>
    </w:p>
    <w:p w14:paraId="66DF1A6B"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l'adresse</w:t>
      </w:r>
      <w:proofErr w:type="gramEnd"/>
      <w:r w:rsidRPr="00E85775">
        <w:t xml:space="preserve"> de facturation ;</w:t>
      </w:r>
    </w:p>
    <w:p w14:paraId="18056D97"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w:t>
      </w:r>
      <w:proofErr w:type="gramEnd"/>
      <w:r w:rsidRPr="00E85775">
        <w:t xml:space="preserve"> cas échéant, l'adresse de livraison ou de réalisation des prestations ;</w:t>
      </w:r>
    </w:p>
    <w:p w14:paraId="2349F0DB" w14:textId="77777777" w:rsidR="0008280A" w:rsidRPr="00E85775" w:rsidRDefault="0008280A" w:rsidP="00E73B45">
      <w:pPr>
        <w:pStyle w:val="Paragraphedeliste"/>
        <w:numPr>
          <w:ilvl w:val="0"/>
          <w:numId w:val="9"/>
        </w:numPr>
        <w:spacing w:line="240" w:lineRule="auto"/>
        <w:ind w:left="714" w:hanging="357"/>
        <w:contextualSpacing w:val="0"/>
      </w:pPr>
      <w:proofErr w:type="gramStart"/>
      <w:r w:rsidRPr="00E85775">
        <w:t>le</w:t>
      </w:r>
      <w:proofErr w:type="gramEnd"/>
      <w:r w:rsidRPr="00E85775">
        <w:t xml:space="preserve"> service exécutant.</w:t>
      </w:r>
    </w:p>
    <w:p w14:paraId="66A9C178" w14:textId="77777777" w:rsidR="0008280A" w:rsidRPr="00E85775" w:rsidRDefault="0008280A" w:rsidP="0008280A"/>
    <w:p w14:paraId="32AB4A9A" w14:textId="651AD607" w:rsidR="00E85775" w:rsidRDefault="00153983" w:rsidP="00153983">
      <w:bookmarkStart w:id="42" w:name="_Toc206485205"/>
      <w:r w:rsidRPr="007E501F">
        <w:rPr>
          <w:b/>
        </w:rPr>
        <w:t>3.4.3</w:t>
      </w:r>
      <w:r>
        <w:t xml:space="preserve"> </w:t>
      </w:r>
      <w:r w:rsidR="0008280A" w:rsidRPr="007E501F">
        <w:t>Lorsque le titulaire estime que les prescriptions d'un bon de commande appellent des observations de sa part, il doit les notifier dans un délai de quinze (15) jours à compter de la date de réception du bon de commande.</w:t>
      </w:r>
      <w:bookmarkEnd w:id="42"/>
    </w:p>
    <w:p w14:paraId="33C01756" w14:textId="3657A7C2" w:rsidR="00D50608" w:rsidRDefault="00D50608" w:rsidP="00D50608">
      <w:pPr>
        <w:rPr>
          <w:lang w:val="x-none" w:eastAsia="x-none"/>
        </w:rPr>
      </w:pPr>
    </w:p>
    <w:p w14:paraId="4A29D734" w14:textId="77777777" w:rsidR="00D50608" w:rsidRPr="00D50608" w:rsidRDefault="00D50608" w:rsidP="00D50608">
      <w:r w:rsidRPr="00D50608">
        <w:rPr>
          <w:b/>
        </w:rPr>
        <w:t>3.4.4.</w:t>
      </w:r>
      <w:r w:rsidRPr="00D50608">
        <w:t xml:space="preserve"> En cas de groupement d’opérateurs économiques, les bons de commande sont adressés au mandataire du groupement qui a seule compétence pour formuler des observations à l’acheteur, conformément à l’article 3.5.1 du </w:t>
      </w:r>
      <w:r w:rsidRPr="00D50608">
        <w:rPr>
          <w:color w:val="000000" w:themeColor="text1"/>
        </w:rPr>
        <w:t>CCAG/PI.</w:t>
      </w:r>
    </w:p>
    <w:p w14:paraId="5BCB9E6F" w14:textId="1385917B" w:rsidR="00D50608" w:rsidRDefault="00D50608" w:rsidP="00D50608">
      <w:pPr>
        <w:rPr>
          <w:lang w:val="x-none" w:eastAsia="x-none"/>
        </w:rPr>
      </w:pPr>
    </w:p>
    <w:p w14:paraId="47C573EF" w14:textId="77777777" w:rsidR="00D50608" w:rsidRPr="00D50608" w:rsidRDefault="00D50608" w:rsidP="00D50608">
      <w:pPr>
        <w:numPr>
          <w:ilvl w:val="1"/>
          <w:numId w:val="0"/>
        </w:numPr>
        <w:outlineLvl w:val="1"/>
        <w:rPr>
          <w:rFonts w:eastAsia="Times New Roman" w:cs="Arial"/>
          <w:b/>
          <w:bCs/>
          <w:lang w:val="x-none" w:eastAsia="x-none"/>
        </w:rPr>
      </w:pPr>
      <w:bookmarkStart w:id="43" w:name="_Toc207979732"/>
      <w:r w:rsidRPr="00D50608">
        <w:rPr>
          <w:rFonts w:eastAsia="Times New Roman" w:cs="Arial"/>
          <w:b/>
          <w:bCs/>
          <w:lang w:val="x-none" w:eastAsia="x-none"/>
        </w:rPr>
        <w:t>3.</w:t>
      </w:r>
      <w:r w:rsidRPr="00D50608">
        <w:rPr>
          <w:rFonts w:eastAsia="Times New Roman" w:cs="Arial"/>
          <w:b/>
          <w:bCs/>
          <w:lang w:eastAsia="x-none"/>
        </w:rPr>
        <w:t>5</w:t>
      </w:r>
      <w:r w:rsidRPr="00D50608">
        <w:rPr>
          <w:rFonts w:eastAsia="Times New Roman" w:cs="Arial"/>
          <w:b/>
          <w:bCs/>
          <w:lang w:val="x-none" w:eastAsia="x-none"/>
        </w:rPr>
        <w:t>. Neutralisation de périodes.</w:t>
      </w:r>
      <w:bookmarkEnd w:id="43"/>
    </w:p>
    <w:p w14:paraId="062AD289" w14:textId="77777777" w:rsidR="00D50608" w:rsidRPr="00D50608" w:rsidRDefault="00D50608" w:rsidP="00D50608">
      <w:pPr>
        <w:rPr>
          <w:lang w:val="x-none" w:eastAsia="x-none"/>
        </w:rPr>
      </w:pPr>
    </w:p>
    <w:p w14:paraId="3E7CDB1A" w14:textId="0AF8E2E9" w:rsidR="00E85775" w:rsidRPr="00E85775" w:rsidRDefault="00E85775" w:rsidP="00C7548A">
      <w:r w:rsidRPr="00E85775">
        <w:t xml:space="preserve">Les durées prévues </w:t>
      </w:r>
      <w:r w:rsidR="0037147F">
        <w:t>à l’accord-cadre</w:t>
      </w:r>
      <w:r w:rsidRPr="00E85775">
        <w:t xml:space="preserve"> s'entendent, périodes de congés annuels comp</w:t>
      </w:r>
      <w:r w:rsidR="00501067">
        <w:t xml:space="preserve">rises. Aucune neutralisation n’est </w:t>
      </w:r>
      <w:r w:rsidRPr="00E85775">
        <w:t>effectuée pour tenir compte d'une éventuelle fermeture des établis</w:t>
      </w:r>
      <w:r w:rsidR="00501067">
        <w:t>sements du titulaire (ou des co</w:t>
      </w:r>
      <w:r w:rsidRPr="00E85775">
        <w:t>traitants ou des sous-traitants).</w:t>
      </w:r>
    </w:p>
    <w:p w14:paraId="484246FD" w14:textId="0F527597" w:rsidR="00E85775" w:rsidRPr="00CD502D" w:rsidRDefault="00E85775" w:rsidP="00CD502D">
      <w:pPr>
        <w:pStyle w:val="Titre1"/>
        <w:keepLines/>
        <w:numPr>
          <w:ilvl w:val="0"/>
          <w:numId w:val="0"/>
        </w:numPr>
        <w:spacing w:before="240" w:after="0"/>
        <w:rPr>
          <w:rFonts w:ascii="Arial" w:hAnsi="Arial" w:cs="Arial"/>
          <w:sz w:val="22"/>
          <w:szCs w:val="22"/>
        </w:rPr>
      </w:pPr>
      <w:bookmarkStart w:id="44" w:name="_Toc507666595"/>
      <w:bookmarkStart w:id="45" w:name="_Toc50113974"/>
      <w:bookmarkStart w:id="46" w:name="_Toc207979733"/>
      <w:bookmarkEnd w:id="30"/>
      <w:r w:rsidRPr="00CD502D">
        <w:rPr>
          <w:rFonts w:ascii="Arial" w:hAnsi="Arial" w:cs="Arial"/>
          <w:sz w:val="22"/>
          <w:szCs w:val="22"/>
        </w:rPr>
        <w:t xml:space="preserve">ARTICLE 4 – MONTANTS </w:t>
      </w:r>
      <w:r w:rsidR="0037147F" w:rsidRPr="00CD502D">
        <w:rPr>
          <w:rFonts w:ascii="Arial" w:hAnsi="Arial" w:cs="Arial"/>
          <w:sz w:val="22"/>
          <w:szCs w:val="22"/>
        </w:rPr>
        <w:t>DE L’ACCORD-CADRE</w:t>
      </w:r>
      <w:r w:rsidR="005D7DBF" w:rsidRPr="00CD502D">
        <w:rPr>
          <w:rFonts w:ascii="Arial" w:hAnsi="Arial" w:cs="Arial"/>
          <w:sz w:val="22"/>
          <w:szCs w:val="22"/>
        </w:rPr>
        <w:t xml:space="preserve"> ET DÉLAIS D’EXÉCUTION</w:t>
      </w:r>
      <w:r w:rsidRPr="00CD502D">
        <w:rPr>
          <w:rFonts w:ascii="Arial" w:hAnsi="Arial" w:cs="Arial"/>
          <w:sz w:val="22"/>
          <w:szCs w:val="22"/>
        </w:rPr>
        <w:t>.</w:t>
      </w:r>
      <w:bookmarkEnd w:id="44"/>
      <w:bookmarkEnd w:id="45"/>
      <w:bookmarkEnd w:id="46"/>
    </w:p>
    <w:p w14:paraId="31AA45E8" w14:textId="77777777" w:rsidR="00E85775" w:rsidRPr="00E85775" w:rsidRDefault="00E85775" w:rsidP="00C7548A"/>
    <w:p w14:paraId="3DCE7B0B" w14:textId="4A7F61EA" w:rsidR="00750BC4" w:rsidRDefault="00750BC4" w:rsidP="00750BC4">
      <w:pPr>
        <w:rPr>
          <w:rFonts w:cs="Arial"/>
        </w:rPr>
      </w:pPr>
      <w:r w:rsidRPr="00261C8C">
        <w:rPr>
          <w:rFonts w:cs="Arial"/>
        </w:rPr>
        <w:t xml:space="preserve">Le montant de l’accord-cadre, </w:t>
      </w:r>
      <w:r w:rsidRPr="00CB46F0">
        <w:rPr>
          <w:rFonts w:cs="Arial"/>
          <w:b/>
          <w:u w:val="single"/>
        </w:rPr>
        <w:t>pour chaque période</w:t>
      </w:r>
      <w:r w:rsidRPr="00261C8C">
        <w:rPr>
          <w:rFonts w:cs="Arial"/>
        </w:rPr>
        <w:t>, se décompose de la manière suivante :</w:t>
      </w:r>
    </w:p>
    <w:p w14:paraId="13DC2A66" w14:textId="77777777" w:rsidR="000031DB" w:rsidRPr="00371A42" w:rsidRDefault="000031DB" w:rsidP="00750BC4">
      <w:pPr>
        <w:rPr>
          <w:rFonts w:cs="Arial"/>
        </w:rPr>
      </w:pPr>
    </w:p>
    <w:p w14:paraId="54F6255E" w14:textId="77777777" w:rsidR="00750BC4" w:rsidRPr="00F346D9" w:rsidRDefault="00750BC4" w:rsidP="00E73B45">
      <w:pPr>
        <w:spacing w:after="120"/>
        <w:rPr>
          <w:rFonts w:cs="Arial"/>
          <w:b/>
          <w:u w:val="single"/>
        </w:rPr>
      </w:pPr>
      <w:r w:rsidRPr="00F346D9">
        <w:rPr>
          <w:rFonts w:cs="Arial"/>
          <w:b/>
          <w:u w:val="single"/>
        </w:rPr>
        <w:t>Postes forfaitaires :</w:t>
      </w:r>
    </w:p>
    <w:tbl>
      <w:tblPr>
        <w:tblW w:w="1010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483"/>
        <w:gridCol w:w="1701"/>
        <w:gridCol w:w="1626"/>
        <w:gridCol w:w="1533"/>
      </w:tblGrid>
      <w:tr w:rsidR="002F2CF9" w:rsidRPr="002F2CF9" w14:paraId="7F9BD403" w14:textId="77777777" w:rsidTr="00E73B45">
        <w:tc>
          <w:tcPr>
            <w:tcW w:w="762" w:type="dxa"/>
            <w:tcBorders>
              <w:top w:val="single" w:sz="12" w:space="0" w:color="auto"/>
              <w:left w:val="single" w:sz="12" w:space="0" w:color="auto"/>
              <w:bottom w:val="single" w:sz="12" w:space="0" w:color="auto"/>
              <w:right w:val="single" w:sz="2" w:space="0" w:color="auto"/>
            </w:tcBorders>
            <w:shd w:val="clear" w:color="auto" w:fill="DEEAF6" w:themeFill="accent5" w:themeFillTint="33"/>
            <w:vAlign w:val="center"/>
          </w:tcPr>
          <w:p w14:paraId="7EFAE535" w14:textId="77777777" w:rsidR="002F2CF9" w:rsidRPr="002F2CF9" w:rsidRDefault="002F2CF9" w:rsidP="00E73B45">
            <w:pPr>
              <w:spacing w:before="60" w:after="60"/>
              <w:jc w:val="center"/>
              <w:rPr>
                <w:b/>
              </w:rPr>
            </w:pPr>
            <w:r w:rsidRPr="002F2CF9">
              <w:rPr>
                <w:b/>
              </w:rPr>
              <w:t>Poste</w:t>
            </w:r>
          </w:p>
        </w:tc>
        <w:tc>
          <w:tcPr>
            <w:tcW w:w="4483" w:type="dxa"/>
            <w:tcBorders>
              <w:top w:val="single" w:sz="12" w:space="0" w:color="auto"/>
              <w:left w:val="single" w:sz="2" w:space="0" w:color="auto"/>
              <w:bottom w:val="single" w:sz="12" w:space="0" w:color="auto"/>
              <w:right w:val="single" w:sz="2" w:space="0" w:color="auto"/>
            </w:tcBorders>
            <w:shd w:val="clear" w:color="auto" w:fill="DEEAF6" w:themeFill="accent5" w:themeFillTint="33"/>
            <w:vAlign w:val="center"/>
          </w:tcPr>
          <w:p w14:paraId="7A380B9A" w14:textId="77777777" w:rsidR="002F2CF9" w:rsidRPr="002F2CF9" w:rsidRDefault="002F2CF9" w:rsidP="00E73B45">
            <w:pPr>
              <w:spacing w:before="60" w:after="60"/>
              <w:jc w:val="center"/>
              <w:rPr>
                <w:b/>
              </w:rPr>
            </w:pPr>
            <w:r w:rsidRPr="002F2CF9">
              <w:rPr>
                <w:b/>
              </w:rPr>
              <w:t>Libellé</w:t>
            </w:r>
          </w:p>
        </w:tc>
        <w:tc>
          <w:tcPr>
            <w:tcW w:w="1701" w:type="dxa"/>
            <w:tcBorders>
              <w:top w:val="single" w:sz="12" w:space="0" w:color="auto"/>
              <w:left w:val="single" w:sz="2" w:space="0" w:color="auto"/>
              <w:bottom w:val="single" w:sz="12" w:space="0" w:color="auto"/>
              <w:right w:val="single" w:sz="2" w:space="0" w:color="auto"/>
            </w:tcBorders>
            <w:shd w:val="clear" w:color="auto" w:fill="DEEAF6" w:themeFill="accent5" w:themeFillTint="33"/>
            <w:vAlign w:val="center"/>
          </w:tcPr>
          <w:p w14:paraId="532212B2" w14:textId="288E8A27" w:rsidR="002F2CF9" w:rsidRPr="002F2CF9" w:rsidRDefault="002F2CF9" w:rsidP="00E73B45">
            <w:pPr>
              <w:spacing w:before="60" w:after="60"/>
              <w:jc w:val="center"/>
              <w:rPr>
                <w:b/>
              </w:rPr>
            </w:pPr>
            <w:r w:rsidRPr="002F2CF9">
              <w:rPr>
                <w:b/>
              </w:rPr>
              <w:t xml:space="preserve">Prix </w:t>
            </w:r>
            <w:r w:rsidR="00B57E66">
              <w:rPr>
                <w:b/>
              </w:rPr>
              <w:t xml:space="preserve">forfaitaire </w:t>
            </w:r>
            <w:r w:rsidRPr="002F2CF9">
              <w:rPr>
                <w:b/>
              </w:rPr>
              <w:t>€</w:t>
            </w:r>
            <w:r w:rsidR="006F3324">
              <w:rPr>
                <w:b/>
              </w:rPr>
              <w:t xml:space="preserve"> </w:t>
            </w:r>
            <w:r w:rsidRPr="002F2CF9">
              <w:rPr>
                <w:b/>
              </w:rPr>
              <w:t>HT</w:t>
            </w:r>
          </w:p>
        </w:tc>
        <w:tc>
          <w:tcPr>
            <w:tcW w:w="1626" w:type="dxa"/>
            <w:tcBorders>
              <w:top w:val="single" w:sz="12" w:space="0" w:color="auto"/>
              <w:left w:val="single" w:sz="2" w:space="0" w:color="auto"/>
              <w:bottom w:val="single" w:sz="12" w:space="0" w:color="auto"/>
              <w:right w:val="single" w:sz="2" w:space="0" w:color="auto"/>
            </w:tcBorders>
            <w:shd w:val="clear" w:color="auto" w:fill="DEEAF6" w:themeFill="accent5" w:themeFillTint="33"/>
            <w:vAlign w:val="center"/>
          </w:tcPr>
          <w:p w14:paraId="5D342B53" w14:textId="1C8E0C71" w:rsidR="002F2CF9" w:rsidRPr="002F2CF9" w:rsidRDefault="002F2CF9" w:rsidP="00E73B45">
            <w:pPr>
              <w:spacing w:before="60" w:after="60"/>
              <w:jc w:val="center"/>
              <w:rPr>
                <w:b/>
              </w:rPr>
            </w:pPr>
            <w:r w:rsidRPr="002F2CF9">
              <w:rPr>
                <w:b/>
              </w:rPr>
              <w:t xml:space="preserve">Prix </w:t>
            </w:r>
            <w:r w:rsidR="00B57E66">
              <w:rPr>
                <w:b/>
              </w:rPr>
              <w:t xml:space="preserve">forfaitaire </w:t>
            </w:r>
            <w:r w:rsidRPr="002F2CF9">
              <w:rPr>
                <w:b/>
              </w:rPr>
              <w:t>€</w:t>
            </w:r>
            <w:r w:rsidR="006F3324">
              <w:rPr>
                <w:b/>
              </w:rPr>
              <w:t xml:space="preserve"> </w:t>
            </w:r>
            <w:r w:rsidRPr="002F2CF9">
              <w:rPr>
                <w:b/>
              </w:rPr>
              <w:t>TTC</w:t>
            </w:r>
          </w:p>
        </w:tc>
        <w:tc>
          <w:tcPr>
            <w:tcW w:w="1533" w:type="dxa"/>
            <w:tcBorders>
              <w:top w:val="single" w:sz="12" w:space="0" w:color="auto"/>
              <w:left w:val="single" w:sz="2" w:space="0" w:color="auto"/>
              <w:bottom w:val="single" w:sz="12" w:space="0" w:color="auto"/>
              <w:right w:val="single" w:sz="12" w:space="0" w:color="auto"/>
            </w:tcBorders>
            <w:shd w:val="clear" w:color="auto" w:fill="DEEAF6" w:themeFill="accent5" w:themeFillTint="33"/>
            <w:vAlign w:val="center"/>
          </w:tcPr>
          <w:p w14:paraId="356F083D" w14:textId="77777777" w:rsidR="002F2CF9" w:rsidRPr="002F2CF9" w:rsidRDefault="002F2CF9" w:rsidP="00E73B45">
            <w:pPr>
              <w:spacing w:before="60" w:after="60"/>
              <w:jc w:val="center"/>
              <w:rPr>
                <w:b/>
              </w:rPr>
            </w:pPr>
            <w:r w:rsidRPr="002F2CF9">
              <w:rPr>
                <w:b/>
              </w:rPr>
              <w:t>Délais d’exécution</w:t>
            </w:r>
          </w:p>
        </w:tc>
      </w:tr>
      <w:tr w:rsidR="002F2CF9" w:rsidRPr="002F2CF9" w14:paraId="74BA07E9" w14:textId="77777777" w:rsidTr="00E73B45">
        <w:tc>
          <w:tcPr>
            <w:tcW w:w="762" w:type="dxa"/>
            <w:vMerge w:val="restart"/>
            <w:tcBorders>
              <w:top w:val="single" w:sz="12" w:space="0" w:color="auto"/>
              <w:left w:val="single" w:sz="12" w:space="0" w:color="auto"/>
            </w:tcBorders>
            <w:shd w:val="clear" w:color="auto" w:fill="auto"/>
            <w:vAlign w:val="center"/>
          </w:tcPr>
          <w:p w14:paraId="18217EB6" w14:textId="77777777" w:rsidR="002F2CF9" w:rsidRPr="002F2CF9" w:rsidRDefault="002F2CF9" w:rsidP="00E73B45">
            <w:pPr>
              <w:spacing w:before="60" w:after="60"/>
              <w:jc w:val="center"/>
              <w:rPr>
                <w:b/>
              </w:rPr>
            </w:pPr>
            <w:r w:rsidRPr="002F2CF9">
              <w:rPr>
                <w:b/>
              </w:rPr>
              <w:t>PF1</w:t>
            </w:r>
          </w:p>
        </w:tc>
        <w:tc>
          <w:tcPr>
            <w:tcW w:w="4483" w:type="dxa"/>
            <w:tcBorders>
              <w:top w:val="single" w:sz="12" w:space="0" w:color="auto"/>
            </w:tcBorders>
            <w:shd w:val="clear" w:color="auto" w:fill="auto"/>
            <w:vAlign w:val="center"/>
          </w:tcPr>
          <w:p w14:paraId="5806DD43" w14:textId="306CE6B5" w:rsidR="002F2CF9" w:rsidRPr="002F2CF9" w:rsidRDefault="0095122A" w:rsidP="004730B4">
            <w:pPr>
              <w:spacing w:before="60" w:after="60"/>
            </w:pPr>
            <w:r w:rsidRPr="0079485D">
              <w:t>Quatre</w:t>
            </w:r>
            <w:r w:rsidR="002F086A" w:rsidRPr="0079485D">
              <w:t xml:space="preserve"> (</w:t>
            </w:r>
            <w:r w:rsidR="00BE50F2" w:rsidRPr="0079485D">
              <w:t>4</w:t>
            </w:r>
            <w:r w:rsidR="002F086A" w:rsidRPr="0079485D">
              <w:t>)</w:t>
            </w:r>
            <w:r w:rsidR="00153983" w:rsidRPr="0079485D">
              <w:t xml:space="preserve"> </w:t>
            </w:r>
            <w:r w:rsidR="00191690" w:rsidRPr="0079485D">
              <w:t xml:space="preserve">notes de recherche </w:t>
            </w:r>
            <w:r w:rsidR="00BE50F2" w:rsidRPr="0079485D">
              <w:t xml:space="preserve">et </w:t>
            </w:r>
            <w:r w:rsidR="00153983" w:rsidRPr="0079485D">
              <w:t>quatre (</w:t>
            </w:r>
            <w:r w:rsidR="00BE50F2" w:rsidRPr="0079485D">
              <w:t>4</w:t>
            </w:r>
            <w:r w:rsidR="00153983" w:rsidRPr="0079485D">
              <w:t>)</w:t>
            </w:r>
            <w:r w:rsidR="004730B4" w:rsidRPr="0079485D">
              <w:t xml:space="preserve"> </w:t>
            </w:r>
            <w:r w:rsidR="00191690" w:rsidRPr="0079485D">
              <w:t>résumés</w:t>
            </w:r>
            <w:r w:rsidR="00191690">
              <w:t xml:space="preserve"> </w:t>
            </w:r>
            <w:r w:rsidR="0079485D" w:rsidRPr="0079485D">
              <w:t>en langue française et traduits en langue anglaise</w:t>
            </w:r>
          </w:p>
        </w:tc>
        <w:tc>
          <w:tcPr>
            <w:tcW w:w="1701" w:type="dxa"/>
            <w:tcBorders>
              <w:top w:val="single" w:sz="12" w:space="0" w:color="auto"/>
            </w:tcBorders>
            <w:vAlign w:val="center"/>
          </w:tcPr>
          <w:p w14:paraId="1A6348AE" w14:textId="77777777" w:rsidR="002F2CF9" w:rsidRPr="002F2CF9" w:rsidRDefault="002F2CF9" w:rsidP="004730B4">
            <w:pPr>
              <w:spacing w:before="60" w:after="60"/>
              <w:jc w:val="center"/>
            </w:pPr>
            <w:r w:rsidRPr="002F2CF9">
              <w:t>………</w:t>
            </w:r>
          </w:p>
        </w:tc>
        <w:tc>
          <w:tcPr>
            <w:tcW w:w="1626" w:type="dxa"/>
            <w:tcBorders>
              <w:top w:val="single" w:sz="12" w:space="0" w:color="auto"/>
              <w:right w:val="single" w:sz="4" w:space="0" w:color="auto"/>
            </w:tcBorders>
            <w:vAlign w:val="center"/>
          </w:tcPr>
          <w:p w14:paraId="6DE7FFEB" w14:textId="77777777" w:rsidR="002F2CF9" w:rsidRPr="002F2CF9" w:rsidRDefault="002F2CF9" w:rsidP="004730B4">
            <w:pPr>
              <w:spacing w:before="60" w:after="60"/>
              <w:jc w:val="center"/>
            </w:pPr>
            <w:r w:rsidRPr="002F2CF9">
              <w:t>………</w:t>
            </w:r>
          </w:p>
        </w:tc>
        <w:tc>
          <w:tcPr>
            <w:tcW w:w="1533" w:type="dxa"/>
            <w:vMerge w:val="restart"/>
            <w:tcBorders>
              <w:top w:val="single" w:sz="12" w:space="0" w:color="auto"/>
              <w:left w:val="single" w:sz="4" w:space="0" w:color="auto"/>
              <w:right w:val="single" w:sz="12" w:space="0" w:color="auto"/>
            </w:tcBorders>
            <w:vAlign w:val="center"/>
          </w:tcPr>
          <w:p w14:paraId="7851C9DC" w14:textId="7CD057EF" w:rsidR="00174CDB" w:rsidRPr="002F2CF9" w:rsidRDefault="00174CDB" w:rsidP="00E73B45">
            <w:pPr>
              <w:spacing w:before="60" w:after="60"/>
              <w:jc w:val="center"/>
            </w:pPr>
            <w:r>
              <w:t>T</w:t>
            </w:r>
            <w:r w:rsidRPr="00174CDB">
              <w:rPr>
                <w:vertAlign w:val="subscript"/>
              </w:rPr>
              <w:t>0</w:t>
            </w:r>
            <w:r>
              <w:t>/x + 12 mois</w:t>
            </w:r>
          </w:p>
        </w:tc>
      </w:tr>
      <w:tr w:rsidR="002F2CF9" w:rsidRPr="002F2CF9" w14:paraId="3BF9F0E3" w14:textId="77777777" w:rsidTr="00E73B45">
        <w:tc>
          <w:tcPr>
            <w:tcW w:w="762" w:type="dxa"/>
            <w:vMerge/>
            <w:tcBorders>
              <w:left w:val="single" w:sz="12" w:space="0" w:color="auto"/>
            </w:tcBorders>
            <w:shd w:val="clear" w:color="auto" w:fill="auto"/>
            <w:vAlign w:val="center"/>
          </w:tcPr>
          <w:p w14:paraId="1FCE73C0" w14:textId="77777777" w:rsidR="002F2CF9" w:rsidRPr="002F2CF9" w:rsidRDefault="002F2CF9" w:rsidP="00E73B45">
            <w:pPr>
              <w:spacing w:before="60" w:after="60"/>
              <w:jc w:val="center"/>
              <w:rPr>
                <w:b/>
              </w:rPr>
            </w:pPr>
          </w:p>
        </w:tc>
        <w:tc>
          <w:tcPr>
            <w:tcW w:w="4483" w:type="dxa"/>
            <w:tcBorders>
              <w:top w:val="single" w:sz="4" w:space="0" w:color="auto"/>
              <w:bottom w:val="single" w:sz="4" w:space="0" w:color="auto"/>
            </w:tcBorders>
            <w:shd w:val="clear" w:color="auto" w:fill="auto"/>
            <w:vAlign w:val="center"/>
          </w:tcPr>
          <w:p w14:paraId="4E3B5B33" w14:textId="77777777" w:rsidR="002F2CF9" w:rsidRPr="00E73B45" w:rsidRDefault="002F2CF9" w:rsidP="00E73B45">
            <w:pPr>
              <w:spacing w:before="60" w:after="60"/>
              <w:jc w:val="right"/>
              <w:rPr>
                <w:i/>
                <w:sz w:val="16"/>
                <w:szCs w:val="16"/>
              </w:rPr>
            </w:pPr>
            <w:r w:rsidRPr="00E73B45">
              <w:rPr>
                <w:i/>
                <w:sz w:val="16"/>
                <w:szCs w:val="16"/>
              </w:rPr>
              <w:t xml:space="preserve">dont part du mandataire </w:t>
            </w:r>
          </w:p>
        </w:tc>
        <w:tc>
          <w:tcPr>
            <w:tcW w:w="1701" w:type="dxa"/>
            <w:tcBorders>
              <w:top w:val="single" w:sz="4" w:space="0" w:color="auto"/>
              <w:bottom w:val="single" w:sz="4" w:space="0" w:color="auto"/>
            </w:tcBorders>
            <w:vAlign w:val="center"/>
          </w:tcPr>
          <w:p w14:paraId="5626942F" w14:textId="77777777" w:rsidR="002F2CF9" w:rsidRPr="002F2CF9" w:rsidRDefault="002F2CF9" w:rsidP="004730B4">
            <w:pPr>
              <w:spacing w:before="60" w:after="60"/>
              <w:jc w:val="center"/>
            </w:pPr>
            <w:r w:rsidRPr="002F2CF9">
              <w:t>………</w:t>
            </w:r>
          </w:p>
        </w:tc>
        <w:tc>
          <w:tcPr>
            <w:tcW w:w="1626" w:type="dxa"/>
            <w:tcBorders>
              <w:top w:val="single" w:sz="4" w:space="0" w:color="auto"/>
              <w:bottom w:val="single" w:sz="4" w:space="0" w:color="auto"/>
              <w:right w:val="single" w:sz="4" w:space="0" w:color="auto"/>
            </w:tcBorders>
            <w:vAlign w:val="center"/>
          </w:tcPr>
          <w:p w14:paraId="210FB50E" w14:textId="77777777" w:rsidR="002F2CF9" w:rsidRPr="002F2CF9" w:rsidRDefault="002F2CF9" w:rsidP="004730B4">
            <w:pPr>
              <w:spacing w:before="60" w:after="60"/>
              <w:jc w:val="center"/>
            </w:pPr>
            <w:r w:rsidRPr="002F2CF9">
              <w:t>………</w:t>
            </w:r>
          </w:p>
        </w:tc>
        <w:tc>
          <w:tcPr>
            <w:tcW w:w="1533" w:type="dxa"/>
            <w:vMerge/>
            <w:tcBorders>
              <w:left w:val="single" w:sz="4" w:space="0" w:color="auto"/>
              <w:right w:val="single" w:sz="12" w:space="0" w:color="auto"/>
            </w:tcBorders>
            <w:vAlign w:val="center"/>
          </w:tcPr>
          <w:p w14:paraId="72A195BA" w14:textId="77777777" w:rsidR="002F2CF9" w:rsidRPr="002F2CF9" w:rsidRDefault="002F2CF9" w:rsidP="00E73B45">
            <w:pPr>
              <w:spacing w:before="60" w:after="60"/>
            </w:pPr>
          </w:p>
        </w:tc>
      </w:tr>
      <w:tr w:rsidR="002F2CF9" w:rsidRPr="002F2CF9" w14:paraId="38917DE4" w14:textId="77777777" w:rsidTr="00E73B45">
        <w:tc>
          <w:tcPr>
            <w:tcW w:w="762" w:type="dxa"/>
            <w:vMerge/>
            <w:tcBorders>
              <w:left w:val="single" w:sz="12" w:space="0" w:color="auto"/>
              <w:bottom w:val="single" w:sz="12" w:space="0" w:color="auto"/>
            </w:tcBorders>
            <w:shd w:val="clear" w:color="auto" w:fill="auto"/>
            <w:vAlign w:val="center"/>
          </w:tcPr>
          <w:p w14:paraId="7E9B1917" w14:textId="77777777" w:rsidR="002F2CF9" w:rsidRPr="002F2CF9" w:rsidRDefault="002F2CF9" w:rsidP="00E73B45">
            <w:pPr>
              <w:spacing w:before="60" w:after="60"/>
              <w:jc w:val="center"/>
              <w:rPr>
                <w:b/>
              </w:rPr>
            </w:pPr>
          </w:p>
        </w:tc>
        <w:tc>
          <w:tcPr>
            <w:tcW w:w="4483" w:type="dxa"/>
            <w:tcBorders>
              <w:top w:val="single" w:sz="4" w:space="0" w:color="auto"/>
              <w:bottom w:val="single" w:sz="12" w:space="0" w:color="auto"/>
            </w:tcBorders>
            <w:shd w:val="clear" w:color="auto" w:fill="auto"/>
            <w:vAlign w:val="center"/>
          </w:tcPr>
          <w:p w14:paraId="1F1E8563" w14:textId="130ED138" w:rsidR="002F2CF9" w:rsidRPr="00E73B45" w:rsidRDefault="002F2CF9" w:rsidP="00E73B45">
            <w:pPr>
              <w:spacing w:before="60" w:after="60"/>
              <w:jc w:val="right"/>
              <w:rPr>
                <w:i/>
                <w:sz w:val="16"/>
                <w:szCs w:val="16"/>
              </w:rPr>
            </w:pPr>
            <w:r w:rsidRPr="00E73B45">
              <w:rPr>
                <w:i/>
                <w:sz w:val="16"/>
                <w:szCs w:val="16"/>
              </w:rPr>
              <w:t xml:space="preserve">dont part </w:t>
            </w:r>
            <w:r w:rsidR="00A3670A" w:rsidRPr="00E73B45">
              <w:rPr>
                <w:i/>
                <w:sz w:val="16"/>
                <w:szCs w:val="16"/>
              </w:rPr>
              <w:t>de « x »</w:t>
            </w:r>
            <w:r w:rsidR="006A2C48">
              <w:rPr>
                <w:i/>
                <w:sz w:val="16"/>
                <w:szCs w:val="16"/>
              </w:rPr>
              <w:t xml:space="preserve"> </w:t>
            </w:r>
            <w:r w:rsidR="00A3670A" w:rsidRPr="00E73B45">
              <w:rPr>
                <w:i/>
                <w:sz w:val="16"/>
                <w:szCs w:val="16"/>
              </w:rPr>
              <w:t>(membre du groupement )</w:t>
            </w:r>
          </w:p>
        </w:tc>
        <w:tc>
          <w:tcPr>
            <w:tcW w:w="1701" w:type="dxa"/>
            <w:tcBorders>
              <w:top w:val="single" w:sz="4" w:space="0" w:color="auto"/>
              <w:bottom w:val="single" w:sz="4" w:space="0" w:color="auto"/>
            </w:tcBorders>
            <w:vAlign w:val="center"/>
          </w:tcPr>
          <w:p w14:paraId="70EFEE85" w14:textId="77777777" w:rsidR="002F2CF9" w:rsidRPr="002F2CF9" w:rsidRDefault="002F2CF9" w:rsidP="004730B4">
            <w:pPr>
              <w:spacing w:before="60" w:after="60"/>
              <w:jc w:val="center"/>
            </w:pPr>
            <w:r w:rsidRPr="002F2CF9">
              <w:t>………</w:t>
            </w:r>
          </w:p>
        </w:tc>
        <w:tc>
          <w:tcPr>
            <w:tcW w:w="1626" w:type="dxa"/>
            <w:tcBorders>
              <w:top w:val="single" w:sz="4" w:space="0" w:color="auto"/>
              <w:bottom w:val="single" w:sz="4" w:space="0" w:color="auto"/>
              <w:right w:val="single" w:sz="4" w:space="0" w:color="auto"/>
            </w:tcBorders>
            <w:vAlign w:val="center"/>
          </w:tcPr>
          <w:p w14:paraId="3F9E5010" w14:textId="77777777" w:rsidR="002F2CF9" w:rsidRPr="002F2CF9" w:rsidRDefault="002F2CF9" w:rsidP="004730B4">
            <w:pPr>
              <w:spacing w:before="60" w:after="60"/>
              <w:jc w:val="center"/>
            </w:pPr>
            <w:r w:rsidRPr="002F2CF9">
              <w:t>………</w:t>
            </w:r>
          </w:p>
        </w:tc>
        <w:tc>
          <w:tcPr>
            <w:tcW w:w="1533" w:type="dxa"/>
            <w:vMerge/>
            <w:tcBorders>
              <w:left w:val="single" w:sz="4" w:space="0" w:color="auto"/>
              <w:bottom w:val="single" w:sz="12" w:space="0" w:color="auto"/>
              <w:right w:val="single" w:sz="12" w:space="0" w:color="auto"/>
            </w:tcBorders>
            <w:vAlign w:val="center"/>
          </w:tcPr>
          <w:p w14:paraId="37725772" w14:textId="77777777" w:rsidR="002F2CF9" w:rsidRPr="002F2CF9" w:rsidRDefault="002F2CF9" w:rsidP="00E73B45">
            <w:pPr>
              <w:spacing w:before="60" w:after="60"/>
            </w:pPr>
          </w:p>
        </w:tc>
      </w:tr>
      <w:tr w:rsidR="00FD135F" w:rsidRPr="002F2CF9" w14:paraId="16E270F7" w14:textId="77777777" w:rsidTr="00E73B45">
        <w:tc>
          <w:tcPr>
            <w:tcW w:w="762" w:type="dxa"/>
            <w:vMerge w:val="restart"/>
            <w:tcBorders>
              <w:top w:val="single" w:sz="12" w:space="0" w:color="auto"/>
              <w:left w:val="single" w:sz="12" w:space="0" w:color="auto"/>
              <w:right w:val="single" w:sz="8" w:space="0" w:color="auto"/>
            </w:tcBorders>
            <w:shd w:val="clear" w:color="auto" w:fill="auto"/>
            <w:vAlign w:val="center"/>
          </w:tcPr>
          <w:p w14:paraId="5CC19CFD" w14:textId="2BDE039E" w:rsidR="00FD135F" w:rsidRPr="002F2CF9" w:rsidRDefault="0035342D" w:rsidP="00E73B45">
            <w:pPr>
              <w:spacing w:before="60" w:after="60"/>
              <w:jc w:val="center"/>
              <w:rPr>
                <w:b/>
              </w:rPr>
            </w:pPr>
            <w:r>
              <w:rPr>
                <w:b/>
              </w:rPr>
              <w:t>PF2</w:t>
            </w:r>
          </w:p>
        </w:tc>
        <w:tc>
          <w:tcPr>
            <w:tcW w:w="4483" w:type="dxa"/>
            <w:tcBorders>
              <w:top w:val="single" w:sz="12" w:space="0" w:color="auto"/>
              <w:left w:val="single" w:sz="8" w:space="0" w:color="auto"/>
              <w:bottom w:val="single" w:sz="8" w:space="0" w:color="auto"/>
              <w:right w:val="single" w:sz="8" w:space="0" w:color="auto"/>
            </w:tcBorders>
            <w:shd w:val="clear" w:color="auto" w:fill="auto"/>
            <w:vAlign w:val="center"/>
          </w:tcPr>
          <w:p w14:paraId="0AB06E08" w14:textId="7B50212A" w:rsidR="00FD135F" w:rsidRPr="002F2CF9" w:rsidRDefault="0095122A" w:rsidP="00681A11">
            <w:pPr>
              <w:spacing w:before="60" w:after="60"/>
              <w:rPr>
                <w:i/>
              </w:rPr>
            </w:pPr>
            <w:r>
              <w:t>Quatre</w:t>
            </w:r>
            <w:r w:rsidR="00BE50F2">
              <w:t xml:space="preserve"> (4</w:t>
            </w:r>
            <w:r w:rsidR="002F086A">
              <w:t>)</w:t>
            </w:r>
            <w:r w:rsidR="00153983">
              <w:t xml:space="preserve"> </w:t>
            </w:r>
            <w:r w:rsidR="00191690">
              <w:t>réunions de restitution</w:t>
            </w:r>
            <w:r w:rsidR="00725E78">
              <w:t xml:space="preserve"> orale</w:t>
            </w:r>
            <w:r w:rsidR="0079485D">
              <w:t xml:space="preserve"> de</w:t>
            </w:r>
            <w:r w:rsidR="004123CF">
              <w:t>s</w:t>
            </w:r>
            <w:r w:rsidR="0079485D">
              <w:t xml:space="preserve"> notes de recherche</w:t>
            </w:r>
          </w:p>
        </w:tc>
        <w:tc>
          <w:tcPr>
            <w:tcW w:w="1701" w:type="dxa"/>
            <w:tcBorders>
              <w:top w:val="single" w:sz="12" w:space="0" w:color="auto"/>
              <w:left w:val="single" w:sz="8" w:space="0" w:color="auto"/>
              <w:bottom w:val="single" w:sz="8" w:space="0" w:color="auto"/>
              <w:right w:val="single" w:sz="8" w:space="0" w:color="auto"/>
            </w:tcBorders>
            <w:vAlign w:val="center"/>
          </w:tcPr>
          <w:p w14:paraId="2D79CD66" w14:textId="77777777" w:rsidR="00FD135F" w:rsidRPr="002F2CF9" w:rsidRDefault="00FD135F" w:rsidP="004730B4">
            <w:pPr>
              <w:spacing w:before="60" w:after="60"/>
              <w:jc w:val="center"/>
            </w:pPr>
            <w:r w:rsidRPr="002F2CF9">
              <w:t>………</w:t>
            </w:r>
          </w:p>
        </w:tc>
        <w:tc>
          <w:tcPr>
            <w:tcW w:w="1626" w:type="dxa"/>
            <w:tcBorders>
              <w:top w:val="single" w:sz="12" w:space="0" w:color="auto"/>
              <w:left w:val="single" w:sz="8" w:space="0" w:color="auto"/>
              <w:bottom w:val="single" w:sz="8" w:space="0" w:color="auto"/>
              <w:right w:val="single" w:sz="8" w:space="0" w:color="auto"/>
            </w:tcBorders>
            <w:vAlign w:val="center"/>
          </w:tcPr>
          <w:p w14:paraId="34C98724" w14:textId="77777777" w:rsidR="00FD135F" w:rsidRPr="002F2CF9" w:rsidRDefault="00FD135F" w:rsidP="004730B4">
            <w:pPr>
              <w:spacing w:before="60" w:after="60"/>
              <w:jc w:val="center"/>
            </w:pPr>
            <w:r w:rsidRPr="002F2CF9">
              <w:t>………</w:t>
            </w:r>
          </w:p>
        </w:tc>
        <w:tc>
          <w:tcPr>
            <w:tcW w:w="1533" w:type="dxa"/>
            <w:vMerge w:val="restart"/>
            <w:tcBorders>
              <w:top w:val="single" w:sz="12" w:space="0" w:color="auto"/>
              <w:left w:val="single" w:sz="8" w:space="0" w:color="auto"/>
              <w:right w:val="single" w:sz="12" w:space="0" w:color="auto"/>
            </w:tcBorders>
            <w:vAlign w:val="center"/>
          </w:tcPr>
          <w:p w14:paraId="325235B0" w14:textId="54BEE8AC" w:rsidR="00174CDB" w:rsidRPr="002F2CF9" w:rsidRDefault="00174CDB" w:rsidP="00E73B45">
            <w:pPr>
              <w:spacing w:before="60" w:after="60"/>
              <w:jc w:val="center"/>
            </w:pPr>
            <w:r>
              <w:t>T</w:t>
            </w:r>
            <w:r w:rsidRPr="00174CDB">
              <w:rPr>
                <w:vertAlign w:val="subscript"/>
              </w:rPr>
              <w:t>0</w:t>
            </w:r>
            <w:r>
              <w:t>/x + 12 mois</w:t>
            </w:r>
          </w:p>
        </w:tc>
      </w:tr>
      <w:tr w:rsidR="00FD135F" w:rsidRPr="002F2CF9" w14:paraId="4D776185" w14:textId="77777777" w:rsidTr="00E73B45">
        <w:tc>
          <w:tcPr>
            <w:tcW w:w="762" w:type="dxa"/>
            <w:vMerge/>
            <w:tcBorders>
              <w:left w:val="single" w:sz="12" w:space="0" w:color="auto"/>
              <w:right w:val="single" w:sz="8" w:space="0" w:color="auto"/>
            </w:tcBorders>
            <w:shd w:val="clear" w:color="auto" w:fill="auto"/>
            <w:vAlign w:val="center"/>
          </w:tcPr>
          <w:p w14:paraId="081466E9" w14:textId="77777777" w:rsidR="00FD135F" w:rsidRPr="002F2CF9" w:rsidRDefault="00FD135F" w:rsidP="00E73B45">
            <w:pPr>
              <w:spacing w:before="60" w:after="60"/>
              <w:rPr>
                <w:b/>
              </w:rPr>
            </w:pPr>
          </w:p>
        </w:tc>
        <w:tc>
          <w:tcPr>
            <w:tcW w:w="4483" w:type="dxa"/>
            <w:tcBorders>
              <w:top w:val="single" w:sz="8" w:space="0" w:color="auto"/>
              <w:left w:val="single" w:sz="8" w:space="0" w:color="auto"/>
              <w:bottom w:val="single" w:sz="8" w:space="0" w:color="auto"/>
              <w:right w:val="single" w:sz="8" w:space="0" w:color="auto"/>
            </w:tcBorders>
            <w:shd w:val="clear" w:color="auto" w:fill="auto"/>
            <w:vAlign w:val="center"/>
          </w:tcPr>
          <w:p w14:paraId="11BCAE72" w14:textId="77777777" w:rsidR="00FD135F" w:rsidRPr="00E73B45" w:rsidRDefault="00FD135F" w:rsidP="00E73B45">
            <w:pPr>
              <w:spacing w:before="60" w:after="60"/>
              <w:jc w:val="right"/>
              <w:rPr>
                <w:i/>
                <w:sz w:val="16"/>
                <w:szCs w:val="16"/>
              </w:rPr>
            </w:pPr>
            <w:r w:rsidRPr="00E73B45">
              <w:rPr>
                <w:i/>
                <w:sz w:val="16"/>
                <w:szCs w:val="16"/>
              </w:rPr>
              <w:t xml:space="preserve">dont part du mandataire </w:t>
            </w:r>
          </w:p>
        </w:tc>
        <w:tc>
          <w:tcPr>
            <w:tcW w:w="1701" w:type="dxa"/>
            <w:tcBorders>
              <w:top w:val="single" w:sz="8" w:space="0" w:color="auto"/>
              <w:left w:val="single" w:sz="8" w:space="0" w:color="auto"/>
              <w:bottom w:val="single" w:sz="8" w:space="0" w:color="auto"/>
              <w:right w:val="single" w:sz="8" w:space="0" w:color="auto"/>
            </w:tcBorders>
            <w:vAlign w:val="center"/>
          </w:tcPr>
          <w:p w14:paraId="0E7D0EEE" w14:textId="77777777" w:rsidR="00FD135F" w:rsidRPr="002F2CF9" w:rsidRDefault="00FD135F" w:rsidP="004730B4">
            <w:pPr>
              <w:spacing w:before="60" w:after="60"/>
              <w:jc w:val="center"/>
            </w:pPr>
            <w:r w:rsidRPr="002F2CF9">
              <w:t>………</w:t>
            </w:r>
          </w:p>
        </w:tc>
        <w:tc>
          <w:tcPr>
            <w:tcW w:w="1626" w:type="dxa"/>
            <w:tcBorders>
              <w:top w:val="single" w:sz="8" w:space="0" w:color="auto"/>
              <w:left w:val="single" w:sz="8" w:space="0" w:color="auto"/>
              <w:bottom w:val="single" w:sz="8" w:space="0" w:color="auto"/>
              <w:right w:val="single" w:sz="8" w:space="0" w:color="auto"/>
            </w:tcBorders>
            <w:vAlign w:val="center"/>
          </w:tcPr>
          <w:p w14:paraId="6EB266D2" w14:textId="77777777" w:rsidR="00FD135F" w:rsidRPr="002F2CF9" w:rsidRDefault="00FD135F" w:rsidP="004730B4">
            <w:pPr>
              <w:spacing w:before="60" w:after="60"/>
              <w:jc w:val="center"/>
            </w:pPr>
            <w:r w:rsidRPr="002F2CF9">
              <w:t>………</w:t>
            </w:r>
          </w:p>
        </w:tc>
        <w:tc>
          <w:tcPr>
            <w:tcW w:w="1533" w:type="dxa"/>
            <w:vMerge/>
            <w:tcBorders>
              <w:left w:val="single" w:sz="8" w:space="0" w:color="auto"/>
              <w:right w:val="single" w:sz="12" w:space="0" w:color="auto"/>
            </w:tcBorders>
            <w:vAlign w:val="center"/>
          </w:tcPr>
          <w:p w14:paraId="4D1F867E" w14:textId="77777777" w:rsidR="00FD135F" w:rsidRPr="002F2CF9" w:rsidRDefault="00FD135F" w:rsidP="00E73B45">
            <w:pPr>
              <w:spacing w:before="60" w:after="60"/>
            </w:pPr>
          </w:p>
        </w:tc>
      </w:tr>
      <w:tr w:rsidR="00FD135F" w:rsidRPr="002F2CF9" w14:paraId="53682819" w14:textId="77777777" w:rsidTr="00E73B45">
        <w:tc>
          <w:tcPr>
            <w:tcW w:w="762" w:type="dxa"/>
            <w:vMerge/>
            <w:tcBorders>
              <w:left w:val="single" w:sz="12" w:space="0" w:color="auto"/>
              <w:bottom w:val="single" w:sz="12" w:space="0" w:color="auto"/>
              <w:right w:val="single" w:sz="8" w:space="0" w:color="auto"/>
            </w:tcBorders>
            <w:shd w:val="clear" w:color="auto" w:fill="auto"/>
            <w:vAlign w:val="center"/>
          </w:tcPr>
          <w:p w14:paraId="77E50BAC" w14:textId="77777777" w:rsidR="00FD135F" w:rsidRPr="002F2CF9" w:rsidRDefault="00FD135F" w:rsidP="00E73B45">
            <w:pPr>
              <w:spacing w:before="60" w:after="60"/>
              <w:rPr>
                <w:b/>
              </w:rPr>
            </w:pPr>
          </w:p>
        </w:tc>
        <w:tc>
          <w:tcPr>
            <w:tcW w:w="4483" w:type="dxa"/>
            <w:tcBorders>
              <w:top w:val="single" w:sz="8" w:space="0" w:color="auto"/>
              <w:left w:val="single" w:sz="8" w:space="0" w:color="auto"/>
              <w:bottom w:val="single" w:sz="12" w:space="0" w:color="auto"/>
            </w:tcBorders>
            <w:shd w:val="clear" w:color="auto" w:fill="auto"/>
            <w:vAlign w:val="center"/>
          </w:tcPr>
          <w:p w14:paraId="28FDB5F4" w14:textId="20677DBE" w:rsidR="00FD135F" w:rsidRPr="00E73B45" w:rsidRDefault="00FD135F" w:rsidP="00E73B45">
            <w:pPr>
              <w:spacing w:before="60" w:after="60"/>
              <w:jc w:val="right"/>
              <w:rPr>
                <w:i/>
                <w:sz w:val="16"/>
                <w:szCs w:val="16"/>
              </w:rPr>
            </w:pPr>
            <w:r w:rsidRPr="00E73B45">
              <w:rPr>
                <w:i/>
                <w:sz w:val="16"/>
                <w:szCs w:val="16"/>
              </w:rPr>
              <w:t xml:space="preserve">dont part </w:t>
            </w:r>
            <w:r w:rsidR="00A3670A" w:rsidRPr="00E73B45">
              <w:rPr>
                <w:i/>
                <w:sz w:val="16"/>
                <w:szCs w:val="16"/>
              </w:rPr>
              <w:t>de « x »</w:t>
            </w:r>
            <w:r w:rsidR="006A2C48">
              <w:rPr>
                <w:i/>
                <w:sz w:val="16"/>
                <w:szCs w:val="16"/>
              </w:rPr>
              <w:t xml:space="preserve"> </w:t>
            </w:r>
            <w:r w:rsidR="00A3670A" w:rsidRPr="00E73B45">
              <w:rPr>
                <w:i/>
                <w:sz w:val="16"/>
                <w:szCs w:val="16"/>
              </w:rPr>
              <w:t>(membre du groupement )</w:t>
            </w:r>
          </w:p>
        </w:tc>
        <w:tc>
          <w:tcPr>
            <w:tcW w:w="1701" w:type="dxa"/>
            <w:tcBorders>
              <w:top w:val="single" w:sz="8" w:space="0" w:color="auto"/>
              <w:bottom w:val="single" w:sz="12" w:space="0" w:color="auto"/>
            </w:tcBorders>
            <w:vAlign w:val="center"/>
          </w:tcPr>
          <w:p w14:paraId="283A1DD8" w14:textId="77777777" w:rsidR="00FD135F" w:rsidRPr="002F2CF9" w:rsidRDefault="00FD135F" w:rsidP="004730B4">
            <w:pPr>
              <w:spacing w:before="60" w:after="60"/>
              <w:jc w:val="center"/>
            </w:pPr>
            <w:r w:rsidRPr="002F2CF9">
              <w:t>………</w:t>
            </w:r>
          </w:p>
        </w:tc>
        <w:tc>
          <w:tcPr>
            <w:tcW w:w="1626" w:type="dxa"/>
            <w:tcBorders>
              <w:top w:val="single" w:sz="8" w:space="0" w:color="auto"/>
              <w:bottom w:val="single" w:sz="12" w:space="0" w:color="auto"/>
              <w:right w:val="single" w:sz="8" w:space="0" w:color="auto"/>
            </w:tcBorders>
            <w:vAlign w:val="center"/>
          </w:tcPr>
          <w:p w14:paraId="5897B6E4" w14:textId="77777777" w:rsidR="00FD135F" w:rsidRPr="002F2CF9" w:rsidRDefault="00FD135F" w:rsidP="004730B4">
            <w:pPr>
              <w:spacing w:before="60" w:after="60"/>
              <w:jc w:val="center"/>
            </w:pPr>
            <w:r w:rsidRPr="002F2CF9">
              <w:t>………</w:t>
            </w:r>
          </w:p>
        </w:tc>
        <w:tc>
          <w:tcPr>
            <w:tcW w:w="1533" w:type="dxa"/>
            <w:vMerge/>
            <w:tcBorders>
              <w:left w:val="single" w:sz="8" w:space="0" w:color="auto"/>
              <w:bottom w:val="single" w:sz="12" w:space="0" w:color="auto"/>
              <w:right w:val="single" w:sz="12" w:space="0" w:color="auto"/>
            </w:tcBorders>
            <w:vAlign w:val="center"/>
          </w:tcPr>
          <w:p w14:paraId="4F503759" w14:textId="77777777" w:rsidR="00FD135F" w:rsidRPr="002F2CF9" w:rsidRDefault="00FD135F" w:rsidP="00E73B45">
            <w:pPr>
              <w:spacing w:before="60" w:after="60"/>
            </w:pPr>
          </w:p>
        </w:tc>
      </w:tr>
    </w:tbl>
    <w:p w14:paraId="5DD72DF5" w14:textId="55A6EB94" w:rsidR="002F2CF9" w:rsidRPr="00E73B45" w:rsidRDefault="006377D5" w:rsidP="006377D5">
      <w:pPr>
        <w:spacing w:before="60"/>
        <w:rPr>
          <w:sz w:val="16"/>
          <w:szCs w:val="16"/>
        </w:rPr>
      </w:pPr>
      <w:r w:rsidRPr="00E73B45">
        <w:rPr>
          <w:sz w:val="16"/>
          <w:szCs w:val="16"/>
        </w:rPr>
        <w:t>T</w:t>
      </w:r>
      <w:r w:rsidRPr="00E73B45">
        <w:rPr>
          <w:sz w:val="16"/>
          <w:szCs w:val="16"/>
          <w:vertAlign w:val="subscript"/>
        </w:rPr>
        <w:t xml:space="preserve">0 </w:t>
      </w:r>
      <w:r w:rsidRPr="00E73B45">
        <w:rPr>
          <w:sz w:val="16"/>
          <w:szCs w:val="16"/>
        </w:rPr>
        <w:t xml:space="preserve">correspond à la date de notification </w:t>
      </w:r>
      <w:r w:rsidR="00A62A20" w:rsidRPr="00E73B45">
        <w:rPr>
          <w:sz w:val="16"/>
          <w:szCs w:val="16"/>
        </w:rPr>
        <w:t>de l’accord-cadre</w:t>
      </w:r>
      <w:r w:rsidR="0012794E" w:rsidRPr="00E73B45">
        <w:rPr>
          <w:sz w:val="16"/>
          <w:szCs w:val="16"/>
        </w:rPr>
        <w:t> ;</w:t>
      </w:r>
    </w:p>
    <w:p w14:paraId="230AF8E8" w14:textId="74A8A967" w:rsidR="00D90A5A" w:rsidRPr="00E73B45" w:rsidRDefault="00A62A20" w:rsidP="0092014C">
      <w:pPr>
        <w:rPr>
          <w:rFonts w:cs="Arial"/>
          <w:sz w:val="16"/>
          <w:szCs w:val="16"/>
          <w:u w:val="single"/>
        </w:rPr>
      </w:pPr>
      <w:r w:rsidRPr="00E73B45">
        <w:rPr>
          <w:sz w:val="16"/>
          <w:szCs w:val="16"/>
        </w:rPr>
        <w:t>T</w:t>
      </w:r>
      <w:r w:rsidR="00D85A77">
        <w:rPr>
          <w:sz w:val="16"/>
          <w:szCs w:val="16"/>
          <w:vertAlign w:val="subscript"/>
        </w:rPr>
        <w:t>X</w:t>
      </w:r>
      <w:r w:rsidRPr="00E73B45">
        <w:rPr>
          <w:sz w:val="16"/>
          <w:szCs w:val="16"/>
          <w:vertAlign w:val="subscript"/>
        </w:rPr>
        <w:t xml:space="preserve"> </w:t>
      </w:r>
      <w:r w:rsidRPr="00E73B45">
        <w:rPr>
          <w:sz w:val="16"/>
          <w:szCs w:val="16"/>
        </w:rPr>
        <w:t>correspond à la date de reconduction de la période considérée</w:t>
      </w:r>
      <w:r w:rsidR="0012794E" w:rsidRPr="00E73B45">
        <w:rPr>
          <w:sz w:val="16"/>
          <w:szCs w:val="16"/>
        </w:rPr>
        <w:t>.</w:t>
      </w:r>
    </w:p>
    <w:p w14:paraId="76FB9B25" w14:textId="2E6077E0" w:rsidR="00153983" w:rsidRDefault="00153983">
      <w:pPr>
        <w:jc w:val="left"/>
        <w:rPr>
          <w:rFonts w:cs="Arial"/>
          <w:u w:val="single"/>
        </w:rPr>
      </w:pPr>
      <w:r>
        <w:rPr>
          <w:rFonts w:cs="Arial"/>
          <w:u w:val="single"/>
        </w:rPr>
        <w:br w:type="page"/>
      </w:r>
    </w:p>
    <w:p w14:paraId="45E38CBD" w14:textId="77777777" w:rsidR="00D90A5A" w:rsidRDefault="00D90A5A" w:rsidP="0092014C">
      <w:pPr>
        <w:rPr>
          <w:rFonts w:cs="Arial"/>
          <w:u w:val="single"/>
        </w:rPr>
      </w:pPr>
    </w:p>
    <w:p w14:paraId="2D7BC37E" w14:textId="77777777" w:rsidR="0092014C" w:rsidRPr="00F346D9" w:rsidRDefault="0092014C" w:rsidP="00E73B45">
      <w:pPr>
        <w:spacing w:after="120"/>
        <w:rPr>
          <w:rFonts w:cs="Arial"/>
          <w:b/>
          <w:u w:val="single"/>
        </w:rPr>
      </w:pPr>
      <w:r w:rsidRPr="00F346D9">
        <w:rPr>
          <w:rFonts w:cs="Arial"/>
          <w:b/>
          <w:u w:val="single"/>
        </w:rPr>
        <w:t>Bordereau de prix unitaires (</w:t>
      </w:r>
      <w:r w:rsidRPr="009C4E3C">
        <w:rPr>
          <w:rFonts w:cs="Arial"/>
          <w:b/>
          <w:u w:val="single"/>
        </w:rPr>
        <w:t>pour le poste</w:t>
      </w:r>
      <w:r w:rsidRPr="00F346D9">
        <w:rPr>
          <w:rFonts w:cs="Arial"/>
          <w:b/>
          <w:u w:val="single"/>
        </w:rPr>
        <w:t xml:space="preserve"> à bons de commande) :</w:t>
      </w:r>
    </w:p>
    <w:tbl>
      <w:tblPr>
        <w:tblW w:w="1010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1049"/>
        <w:gridCol w:w="3633"/>
        <w:gridCol w:w="1437"/>
        <w:gridCol w:w="1386"/>
        <w:gridCol w:w="1328"/>
      </w:tblGrid>
      <w:tr w:rsidR="004730B4" w:rsidRPr="00C46E0C" w14:paraId="4190D3EA" w14:textId="77777777" w:rsidTr="00D85A77">
        <w:trPr>
          <w:tblHeader/>
        </w:trPr>
        <w:tc>
          <w:tcPr>
            <w:tcW w:w="1272" w:type="dxa"/>
            <w:vMerge w:val="restart"/>
            <w:tcBorders>
              <w:top w:val="single" w:sz="12" w:space="0" w:color="auto"/>
              <w:left w:val="single" w:sz="12" w:space="0" w:color="auto"/>
            </w:tcBorders>
            <w:shd w:val="clear" w:color="auto" w:fill="DEEAF6" w:themeFill="accent5" w:themeFillTint="33"/>
            <w:vAlign w:val="center"/>
          </w:tcPr>
          <w:p w14:paraId="3BA1F8F4" w14:textId="3961C9F4" w:rsidR="004730B4" w:rsidRPr="00DD250F" w:rsidRDefault="004730B4" w:rsidP="009F0863">
            <w:pPr>
              <w:spacing w:before="60" w:after="60"/>
              <w:jc w:val="center"/>
              <w:rPr>
                <w:rFonts w:cs="Arial"/>
                <w:b/>
              </w:rPr>
            </w:pPr>
            <w:r w:rsidRPr="00DD250F">
              <w:rPr>
                <w:rFonts w:cs="Arial"/>
                <w:b/>
              </w:rPr>
              <w:t>Poste</w:t>
            </w:r>
            <w:r w:rsidR="009F0863">
              <w:rPr>
                <w:rFonts w:cs="Arial"/>
                <w:b/>
              </w:rPr>
              <w:t xml:space="preserve"> </w:t>
            </w:r>
            <w:r>
              <w:rPr>
                <w:rFonts w:cs="Arial"/>
                <w:b/>
              </w:rPr>
              <w:t>à bons de commande</w:t>
            </w:r>
          </w:p>
        </w:tc>
        <w:tc>
          <w:tcPr>
            <w:tcW w:w="1049" w:type="dxa"/>
            <w:tcBorders>
              <w:top w:val="single" w:sz="12" w:space="0" w:color="auto"/>
              <w:left w:val="single" w:sz="12" w:space="0" w:color="auto"/>
              <w:right w:val="single" w:sz="12" w:space="0" w:color="auto"/>
            </w:tcBorders>
            <w:shd w:val="clear" w:color="auto" w:fill="DEEAF6" w:themeFill="accent5" w:themeFillTint="33"/>
          </w:tcPr>
          <w:p w14:paraId="568A6F76" w14:textId="53EB80F0" w:rsidR="004730B4" w:rsidRDefault="004730B4" w:rsidP="00E73B45">
            <w:pPr>
              <w:spacing w:before="60" w:after="60"/>
              <w:jc w:val="center"/>
              <w:rPr>
                <w:rFonts w:cs="Arial"/>
                <w:b/>
              </w:rPr>
            </w:pPr>
            <w:r>
              <w:rPr>
                <w:rFonts w:cs="Arial"/>
                <w:b/>
              </w:rPr>
              <w:t>Unité d’œuvre</w:t>
            </w:r>
          </w:p>
        </w:tc>
        <w:tc>
          <w:tcPr>
            <w:tcW w:w="3633" w:type="dxa"/>
            <w:tcBorders>
              <w:top w:val="single" w:sz="12" w:space="0" w:color="auto"/>
              <w:left w:val="single" w:sz="12" w:space="0" w:color="auto"/>
            </w:tcBorders>
            <w:shd w:val="clear" w:color="auto" w:fill="DEEAF6" w:themeFill="accent5" w:themeFillTint="33"/>
            <w:vAlign w:val="center"/>
          </w:tcPr>
          <w:p w14:paraId="4FD86DF3" w14:textId="0F80AD71" w:rsidR="004730B4" w:rsidRPr="00DD250F" w:rsidRDefault="004730B4" w:rsidP="00E73B45">
            <w:pPr>
              <w:spacing w:before="60" w:after="60"/>
              <w:jc w:val="center"/>
              <w:rPr>
                <w:rFonts w:cs="Arial"/>
              </w:rPr>
            </w:pPr>
            <w:r>
              <w:rPr>
                <w:rFonts w:cs="Arial"/>
                <w:b/>
              </w:rPr>
              <w:t>Libellé</w:t>
            </w:r>
          </w:p>
        </w:tc>
        <w:tc>
          <w:tcPr>
            <w:tcW w:w="1437" w:type="dxa"/>
            <w:tcBorders>
              <w:top w:val="single" w:sz="12" w:space="0" w:color="auto"/>
            </w:tcBorders>
            <w:shd w:val="clear" w:color="auto" w:fill="DEEAF6" w:themeFill="accent5" w:themeFillTint="33"/>
            <w:vAlign w:val="center"/>
          </w:tcPr>
          <w:p w14:paraId="3CFEEB6E" w14:textId="0CC9E142" w:rsidR="004730B4" w:rsidRPr="00C46E0C" w:rsidRDefault="004730B4" w:rsidP="00E73B45">
            <w:pPr>
              <w:spacing w:before="60" w:after="60"/>
              <w:jc w:val="center"/>
              <w:rPr>
                <w:rFonts w:cs="Arial"/>
              </w:rPr>
            </w:pPr>
            <w:r w:rsidRPr="00C46E0C">
              <w:rPr>
                <w:rFonts w:cs="Arial"/>
                <w:b/>
              </w:rPr>
              <w:t>Prix unitaire €</w:t>
            </w:r>
            <w:r>
              <w:rPr>
                <w:rFonts w:cs="Arial"/>
                <w:b/>
              </w:rPr>
              <w:t xml:space="preserve"> </w:t>
            </w:r>
            <w:r w:rsidRPr="00C46E0C">
              <w:rPr>
                <w:rFonts w:cs="Arial"/>
                <w:b/>
              </w:rPr>
              <w:t>HT</w:t>
            </w:r>
          </w:p>
        </w:tc>
        <w:tc>
          <w:tcPr>
            <w:tcW w:w="1386" w:type="dxa"/>
            <w:tcBorders>
              <w:top w:val="single" w:sz="12" w:space="0" w:color="auto"/>
              <w:right w:val="single" w:sz="4" w:space="0" w:color="auto"/>
            </w:tcBorders>
            <w:shd w:val="clear" w:color="auto" w:fill="DEEAF6" w:themeFill="accent5" w:themeFillTint="33"/>
            <w:vAlign w:val="center"/>
          </w:tcPr>
          <w:p w14:paraId="1A9AA0DF" w14:textId="206C7D29" w:rsidR="004730B4" w:rsidRPr="00C46E0C" w:rsidRDefault="004730B4" w:rsidP="00E73B45">
            <w:pPr>
              <w:spacing w:before="60" w:after="60"/>
              <w:jc w:val="center"/>
              <w:rPr>
                <w:rFonts w:cs="Arial"/>
              </w:rPr>
            </w:pPr>
            <w:r w:rsidRPr="00C46E0C">
              <w:rPr>
                <w:rFonts w:cs="Arial"/>
                <w:b/>
              </w:rPr>
              <w:t>Prix unitaire €</w:t>
            </w:r>
            <w:r>
              <w:rPr>
                <w:rFonts w:cs="Arial"/>
                <w:b/>
              </w:rPr>
              <w:t> </w:t>
            </w:r>
            <w:r w:rsidRPr="00C46E0C">
              <w:rPr>
                <w:rFonts w:cs="Arial"/>
                <w:b/>
              </w:rPr>
              <w:t>TTC</w:t>
            </w:r>
          </w:p>
        </w:tc>
        <w:tc>
          <w:tcPr>
            <w:tcW w:w="1328" w:type="dxa"/>
            <w:tcBorders>
              <w:top w:val="single" w:sz="12" w:space="0" w:color="auto"/>
              <w:left w:val="single" w:sz="4" w:space="0" w:color="auto"/>
              <w:right w:val="single" w:sz="12" w:space="0" w:color="auto"/>
            </w:tcBorders>
            <w:shd w:val="clear" w:color="auto" w:fill="DEEAF6" w:themeFill="accent5" w:themeFillTint="33"/>
            <w:vAlign w:val="center"/>
          </w:tcPr>
          <w:p w14:paraId="391A508C" w14:textId="77777777" w:rsidR="004730B4" w:rsidRPr="00C46E0C" w:rsidRDefault="004730B4" w:rsidP="00E73B45">
            <w:pPr>
              <w:spacing w:before="60" w:after="60"/>
              <w:jc w:val="center"/>
              <w:rPr>
                <w:rFonts w:cs="Arial"/>
                <w:b/>
              </w:rPr>
            </w:pPr>
            <w:r w:rsidRPr="00C46E0C">
              <w:rPr>
                <w:rFonts w:cs="Arial"/>
                <w:b/>
              </w:rPr>
              <w:t>Délais d’exécution</w:t>
            </w:r>
          </w:p>
        </w:tc>
      </w:tr>
      <w:tr w:rsidR="004730B4" w:rsidRPr="00C46E0C" w14:paraId="0134653A" w14:textId="77777777" w:rsidTr="00D85A77">
        <w:tc>
          <w:tcPr>
            <w:tcW w:w="1272" w:type="dxa"/>
            <w:vMerge/>
            <w:tcBorders>
              <w:left w:val="single" w:sz="12" w:space="0" w:color="auto"/>
            </w:tcBorders>
            <w:vAlign w:val="center"/>
          </w:tcPr>
          <w:p w14:paraId="6C1E95AA" w14:textId="658485DA" w:rsidR="004730B4" w:rsidRPr="00DD250F" w:rsidRDefault="004730B4" w:rsidP="00AE67CE">
            <w:pPr>
              <w:spacing w:before="60" w:after="60"/>
              <w:jc w:val="center"/>
              <w:rPr>
                <w:rFonts w:cs="Arial"/>
              </w:rPr>
            </w:pPr>
          </w:p>
        </w:tc>
        <w:tc>
          <w:tcPr>
            <w:tcW w:w="1049" w:type="dxa"/>
            <w:vMerge w:val="restart"/>
            <w:tcBorders>
              <w:top w:val="single" w:sz="12" w:space="0" w:color="auto"/>
              <w:right w:val="single" w:sz="12" w:space="0" w:color="auto"/>
            </w:tcBorders>
          </w:tcPr>
          <w:p w14:paraId="78329C78" w14:textId="7FE4F1DC" w:rsidR="004730B4" w:rsidRDefault="004730B4" w:rsidP="004730B4">
            <w:pPr>
              <w:spacing w:before="360" w:after="60"/>
              <w:jc w:val="center"/>
              <w:rPr>
                <w:rFonts w:cs="Arial"/>
              </w:rPr>
            </w:pPr>
            <w:r>
              <w:rPr>
                <w:rFonts w:cs="Arial"/>
              </w:rPr>
              <w:t>UO1</w:t>
            </w:r>
          </w:p>
        </w:tc>
        <w:tc>
          <w:tcPr>
            <w:tcW w:w="3633" w:type="dxa"/>
            <w:tcBorders>
              <w:top w:val="single" w:sz="12" w:space="0" w:color="auto"/>
              <w:left w:val="single" w:sz="12" w:space="0" w:color="auto"/>
              <w:bottom w:val="single" w:sz="4" w:space="0" w:color="auto"/>
            </w:tcBorders>
            <w:shd w:val="clear" w:color="auto" w:fill="auto"/>
            <w:vAlign w:val="center"/>
          </w:tcPr>
          <w:p w14:paraId="6C609CE8" w14:textId="53F1A6EC" w:rsidR="004730B4" w:rsidRPr="00DD250F" w:rsidRDefault="004730B4" w:rsidP="00D85A77">
            <w:pPr>
              <w:spacing w:before="60" w:after="60"/>
              <w:rPr>
                <w:rFonts w:cs="Arial"/>
              </w:rPr>
            </w:pPr>
            <w:r>
              <w:rPr>
                <w:rFonts w:cs="Arial"/>
              </w:rPr>
              <w:t xml:space="preserve">Un (1) café-débat </w:t>
            </w:r>
            <w:r w:rsidR="00D85A77">
              <w:rPr>
                <w:rFonts w:cs="Arial"/>
              </w:rPr>
              <w:t xml:space="preserve">et </w:t>
            </w:r>
            <w:r>
              <w:rPr>
                <w:rFonts w:cs="Arial"/>
              </w:rPr>
              <w:t>un (1) compte rendu</w:t>
            </w:r>
          </w:p>
        </w:tc>
        <w:tc>
          <w:tcPr>
            <w:tcW w:w="1437" w:type="dxa"/>
            <w:tcBorders>
              <w:top w:val="single" w:sz="12" w:space="0" w:color="auto"/>
              <w:bottom w:val="single" w:sz="4" w:space="0" w:color="auto"/>
            </w:tcBorders>
            <w:vAlign w:val="center"/>
          </w:tcPr>
          <w:p w14:paraId="51705DC0" w14:textId="77777777" w:rsidR="004730B4" w:rsidRPr="00C46E0C" w:rsidRDefault="004730B4" w:rsidP="00E73B45">
            <w:pPr>
              <w:spacing w:before="60" w:after="60"/>
              <w:jc w:val="center"/>
              <w:rPr>
                <w:rFonts w:cs="Arial"/>
              </w:rPr>
            </w:pPr>
            <w:r w:rsidRPr="00C46E0C">
              <w:rPr>
                <w:rFonts w:cs="Arial"/>
              </w:rPr>
              <w:t>………</w:t>
            </w:r>
          </w:p>
        </w:tc>
        <w:tc>
          <w:tcPr>
            <w:tcW w:w="1386" w:type="dxa"/>
            <w:tcBorders>
              <w:top w:val="single" w:sz="12" w:space="0" w:color="auto"/>
              <w:bottom w:val="single" w:sz="4" w:space="0" w:color="auto"/>
              <w:right w:val="single" w:sz="4" w:space="0" w:color="auto"/>
            </w:tcBorders>
            <w:vAlign w:val="center"/>
          </w:tcPr>
          <w:p w14:paraId="5EC97720" w14:textId="77777777" w:rsidR="004730B4" w:rsidRPr="00C46E0C" w:rsidRDefault="004730B4" w:rsidP="00E73B45">
            <w:pPr>
              <w:spacing w:before="60" w:after="60"/>
              <w:jc w:val="center"/>
              <w:rPr>
                <w:rFonts w:cs="Arial"/>
              </w:rPr>
            </w:pPr>
            <w:r w:rsidRPr="00C46E0C">
              <w:rPr>
                <w:rFonts w:cs="Arial"/>
              </w:rPr>
              <w:t>………</w:t>
            </w:r>
          </w:p>
        </w:tc>
        <w:tc>
          <w:tcPr>
            <w:tcW w:w="1328" w:type="dxa"/>
            <w:vMerge w:val="restart"/>
            <w:tcBorders>
              <w:top w:val="single" w:sz="12" w:space="0" w:color="auto"/>
              <w:left w:val="single" w:sz="4" w:space="0" w:color="auto"/>
              <w:right w:val="single" w:sz="12" w:space="0" w:color="auto"/>
            </w:tcBorders>
            <w:vAlign w:val="center"/>
          </w:tcPr>
          <w:p w14:paraId="71EBE16F" w14:textId="77777777" w:rsidR="004730B4" w:rsidRPr="00C46E0C" w:rsidRDefault="004730B4" w:rsidP="00E73B45">
            <w:pPr>
              <w:spacing w:before="60" w:after="60"/>
              <w:jc w:val="center"/>
              <w:rPr>
                <w:rFonts w:cs="Arial"/>
              </w:rPr>
            </w:pPr>
            <w:r w:rsidRPr="00386ADB">
              <w:rPr>
                <w:rFonts w:cs="Arial"/>
              </w:rPr>
              <w:t>Précisé dans le bon de commande</w:t>
            </w:r>
          </w:p>
        </w:tc>
      </w:tr>
      <w:tr w:rsidR="004730B4" w:rsidRPr="00C46E0C" w14:paraId="57DC4A19" w14:textId="77777777" w:rsidTr="00D85A77">
        <w:tc>
          <w:tcPr>
            <w:tcW w:w="1272" w:type="dxa"/>
            <w:vMerge/>
            <w:tcBorders>
              <w:left w:val="single" w:sz="12" w:space="0" w:color="auto"/>
            </w:tcBorders>
            <w:vAlign w:val="center"/>
          </w:tcPr>
          <w:p w14:paraId="521C05F6" w14:textId="1A4AC945" w:rsidR="004730B4" w:rsidRPr="00DD250F" w:rsidRDefault="004730B4" w:rsidP="00AE67CE">
            <w:pPr>
              <w:spacing w:before="60" w:after="60"/>
              <w:jc w:val="center"/>
              <w:rPr>
                <w:rFonts w:cs="Arial"/>
              </w:rPr>
            </w:pPr>
          </w:p>
        </w:tc>
        <w:tc>
          <w:tcPr>
            <w:tcW w:w="1049" w:type="dxa"/>
            <w:vMerge/>
            <w:tcBorders>
              <w:right w:val="single" w:sz="12" w:space="0" w:color="auto"/>
            </w:tcBorders>
          </w:tcPr>
          <w:p w14:paraId="304F0695" w14:textId="77777777" w:rsidR="004730B4" w:rsidRPr="00E73B45" w:rsidRDefault="004730B4" w:rsidP="00CB46F0">
            <w:pPr>
              <w:spacing w:before="360" w:after="60"/>
              <w:jc w:val="center"/>
              <w:rPr>
                <w:rFonts w:cs="Arial"/>
                <w:i/>
                <w:sz w:val="16"/>
                <w:szCs w:val="16"/>
              </w:rPr>
            </w:pPr>
          </w:p>
        </w:tc>
        <w:tc>
          <w:tcPr>
            <w:tcW w:w="3633" w:type="dxa"/>
            <w:tcBorders>
              <w:top w:val="single" w:sz="4" w:space="0" w:color="auto"/>
              <w:left w:val="single" w:sz="12" w:space="0" w:color="auto"/>
              <w:bottom w:val="single" w:sz="4" w:space="0" w:color="auto"/>
            </w:tcBorders>
            <w:shd w:val="clear" w:color="auto" w:fill="auto"/>
            <w:vAlign w:val="center"/>
          </w:tcPr>
          <w:p w14:paraId="181D886F" w14:textId="48A9AC97" w:rsidR="004730B4" w:rsidRPr="00E73B45" w:rsidRDefault="004730B4" w:rsidP="00E73B45">
            <w:pPr>
              <w:spacing w:before="60" w:after="60"/>
              <w:jc w:val="right"/>
              <w:rPr>
                <w:rFonts w:cs="Arial"/>
                <w:sz w:val="16"/>
                <w:szCs w:val="16"/>
              </w:rPr>
            </w:pPr>
            <w:r w:rsidRPr="00E73B45">
              <w:rPr>
                <w:rFonts w:cs="Arial"/>
                <w:i/>
                <w:sz w:val="16"/>
                <w:szCs w:val="16"/>
              </w:rPr>
              <w:t xml:space="preserve">dont part du mandataire </w:t>
            </w:r>
          </w:p>
        </w:tc>
        <w:tc>
          <w:tcPr>
            <w:tcW w:w="1437" w:type="dxa"/>
            <w:tcBorders>
              <w:top w:val="single" w:sz="4" w:space="0" w:color="auto"/>
              <w:bottom w:val="single" w:sz="4" w:space="0" w:color="auto"/>
            </w:tcBorders>
            <w:vAlign w:val="center"/>
          </w:tcPr>
          <w:p w14:paraId="4007D601" w14:textId="77777777" w:rsidR="004730B4" w:rsidRPr="00C46E0C" w:rsidRDefault="004730B4" w:rsidP="00E73B45">
            <w:pPr>
              <w:spacing w:before="60" w:after="60"/>
              <w:jc w:val="center"/>
              <w:rPr>
                <w:rFonts w:cs="Arial"/>
              </w:rPr>
            </w:pPr>
            <w:r w:rsidRPr="00C46E0C">
              <w:rPr>
                <w:rFonts w:cs="Arial"/>
              </w:rPr>
              <w:t>………</w:t>
            </w:r>
          </w:p>
        </w:tc>
        <w:tc>
          <w:tcPr>
            <w:tcW w:w="1386" w:type="dxa"/>
            <w:tcBorders>
              <w:top w:val="single" w:sz="4" w:space="0" w:color="auto"/>
              <w:bottom w:val="single" w:sz="4" w:space="0" w:color="auto"/>
              <w:right w:val="single" w:sz="4" w:space="0" w:color="auto"/>
            </w:tcBorders>
            <w:vAlign w:val="center"/>
          </w:tcPr>
          <w:p w14:paraId="07A9A960" w14:textId="77777777" w:rsidR="004730B4" w:rsidRPr="00C46E0C" w:rsidRDefault="004730B4" w:rsidP="00E73B45">
            <w:pPr>
              <w:spacing w:before="60" w:after="60"/>
              <w:jc w:val="center"/>
              <w:rPr>
                <w:rFonts w:cs="Arial"/>
              </w:rPr>
            </w:pPr>
            <w:r w:rsidRPr="00C46E0C">
              <w:rPr>
                <w:rFonts w:cs="Arial"/>
              </w:rPr>
              <w:t>………</w:t>
            </w:r>
          </w:p>
        </w:tc>
        <w:tc>
          <w:tcPr>
            <w:tcW w:w="1328" w:type="dxa"/>
            <w:vMerge/>
            <w:tcBorders>
              <w:left w:val="single" w:sz="4" w:space="0" w:color="auto"/>
              <w:right w:val="single" w:sz="12" w:space="0" w:color="auto"/>
            </w:tcBorders>
            <w:vAlign w:val="center"/>
          </w:tcPr>
          <w:p w14:paraId="12D38685" w14:textId="77777777" w:rsidR="004730B4" w:rsidRPr="00C46E0C" w:rsidRDefault="004730B4" w:rsidP="00E73B45">
            <w:pPr>
              <w:spacing w:before="60" w:after="60"/>
              <w:jc w:val="center"/>
              <w:rPr>
                <w:rFonts w:cs="Arial"/>
              </w:rPr>
            </w:pPr>
          </w:p>
        </w:tc>
      </w:tr>
      <w:tr w:rsidR="004730B4" w:rsidRPr="00C46E0C" w14:paraId="6F7C9746" w14:textId="77777777" w:rsidTr="00D85A77">
        <w:tc>
          <w:tcPr>
            <w:tcW w:w="1272" w:type="dxa"/>
            <w:vMerge/>
            <w:tcBorders>
              <w:left w:val="single" w:sz="12" w:space="0" w:color="auto"/>
            </w:tcBorders>
            <w:vAlign w:val="center"/>
          </w:tcPr>
          <w:p w14:paraId="39137A3F" w14:textId="6F9E13E4" w:rsidR="004730B4" w:rsidRPr="00DD250F" w:rsidRDefault="004730B4" w:rsidP="00AE67CE">
            <w:pPr>
              <w:spacing w:before="60" w:after="60"/>
              <w:jc w:val="center"/>
              <w:rPr>
                <w:rFonts w:cs="Arial"/>
              </w:rPr>
            </w:pPr>
          </w:p>
        </w:tc>
        <w:tc>
          <w:tcPr>
            <w:tcW w:w="1049" w:type="dxa"/>
            <w:vMerge/>
            <w:tcBorders>
              <w:bottom w:val="single" w:sz="12" w:space="0" w:color="auto"/>
              <w:right w:val="single" w:sz="12" w:space="0" w:color="auto"/>
            </w:tcBorders>
          </w:tcPr>
          <w:p w14:paraId="6B135973" w14:textId="77777777" w:rsidR="004730B4" w:rsidRPr="00E73B45" w:rsidRDefault="004730B4" w:rsidP="00CB46F0">
            <w:pPr>
              <w:spacing w:before="360" w:after="60"/>
              <w:jc w:val="center"/>
              <w:rPr>
                <w:rFonts w:cs="Arial"/>
                <w:i/>
                <w:sz w:val="16"/>
                <w:szCs w:val="16"/>
              </w:rPr>
            </w:pPr>
          </w:p>
        </w:tc>
        <w:tc>
          <w:tcPr>
            <w:tcW w:w="3633" w:type="dxa"/>
            <w:tcBorders>
              <w:top w:val="single" w:sz="4" w:space="0" w:color="auto"/>
              <w:left w:val="single" w:sz="12" w:space="0" w:color="auto"/>
              <w:bottom w:val="single" w:sz="12" w:space="0" w:color="auto"/>
            </w:tcBorders>
            <w:shd w:val="clear" w:color="auto" w:fill="auto"/>
            <w:vAlign w:val="center"/>
          </w:tcPr>
          <w:p w14:paraId="3B45A292" w14:textId="62BC40EB" w:rsidR="004730B4" w:rsidRPr="00E73B45" w:rsidRDefault="004730B4" w:rsidP="00E73B45">
            <w:pPr>
              <w:spacing w:before="60" w:after="60"/>
              <w:jc w:val="right"/>
              <w:rPr>
                <w:rFonts w:cs="Arial"/>
                <w:sz w:val="16"/>
                <w:szCs w:val="16"/>
              </w:rPr>
            </w:pPr>
            <w:r w:rsidRPr="00E73B45">
              <w:rPr>
                <w:rFonts w:cs="Arial"/>
                <w:i/>
                <w:sz w:val="16"/>
                <w:szCs w:val="16"/>
              </w:rPr>
              <w:t xml:space="preserve">dont part </w:t>
            </w:r>
            <w:r w:rsidRPr="00E73B45">
              <w:rPr>
                <w:i/>
                <w:sz w:val="16"/>
                <w:szCs w:val="16"/>
              </w:rPr>
              <w:t>de « x »</w:t>
            </w:r>
            <w:r>
              <w:rPr>
                <w:i/>
                <w:sz w:val="16"/>
                <w:szCs w:val="16"/>
              </w:rPr>
              <w:t xml:space="preserve"> </w:t>
            </w:r>
            <w:r w:rsidRPr="00E73B45">
              <w:rPr>
                <w:i/>
                <w:sz w:val="16"/>
                <w:szCs w:val="16"/>
              </w:rPr>
              <w:t>(membre du groupement )</w:t>
            </w:r>
          </w:p>
        </w:tc>
        <w:tc>
          <w:tcPr>
            <w:tcW w:w="1437" w:type="dxa"/>
            <w:tcBorders>
              <w:top w:val="single" w:sz="4" w:space="0" w:color="auto"/>
              <w:bottom w:val="single" w:sz="12" w:space="0" w:color="auto"/>
            </w:tcBorders>
            <w:vAlign w:val="center"/>
          </w:tcPr>
          <w:p w14:paraId="797A9327" w14:textId="77777777" w:rsidR="004730B4" w:rsidRPr="00C46E0C" w:rsidRDefault="004730B4" w:rsidP="00E73B45">
            <w:pPr>
              <w:spacing w:before="60" w:after="60"/>
              <w:jc w:val="center"/>
              <w:rPr>
                <w:rFonts w:cs="Arial"/>
              </w:rPr>
            </w:pPr>
            <w:r w:rsidRPr="00C46E0C">
              <w:rPr>
                <w:rFonts w:cs="Arial"/>
              </w:rPr>
              <w:t>………</w:t>
            </w:r>
          </w:p>
        </w:tc>
        <w:tc>
          <w:tcPr>
            <w:tcW w:w="1386" w:type="dxa"/>
            <w:tcBorders>
              <w:top w:val="single" w:sz="4" w:space="0" w:color="auto"/>
              <w:bottom w:val="single" w:sz="12" w:space="0" w:color="auto"/>
              <w:right w:val="single" w:sz="4" w:space="0" w:color="auto"/>
            </w:tcBorders>
            <w:vAlign w:val="center"/>
          </w:tcPr>
          <w:p w14:paraId="6E6C3062" w14:textId="77777777" w:rsidR="004730B4" w:rsidRPr="00C46E0C" w:rsidRDefault="004730B4" w:rsidP="00E73B45">
            <w:pPr>
              <w:spacing w:before="60" w:after="60"/>
              <w:jc w:val="center"/>
              <w:rPr>
                <w:rFonts w:cs="Arial"/>
              </w:rPr>
            </w:pPr>
            <w:r w:rsidRPr="00C46E0C">
              <w:rPr>
                <w:rFonts w:cs="Arial"/>
              </w:rPr>
              <w:t>………</w:t>
            </w:r>
          </w:p>
        </w:tc>
        <w:tc>
          <w:tcPr>
            <w:tcW w:w="1328" w:type="dxa"/>
            <w:vMerge/>
            <w:tcBorders>
              <w:left w:val="single" w:sz="4" w:space="0" w:color="auto"/>
              <w:bottom w:val="single" w:sz="12" w:space="0" w:color="auto"/>
              <w:right w:val="single" w:sz="12" w:space="0" w:color="auto"/>
            </w:tcBorders>
            <w:vAlign w:val="center"/>
          </w:tcPr>
          <w:p w14:paraId="47890B20" w14:textId="77777777" w:rsidR="004730B4" w:rsidRPr="00C46E0C" w:rsidRDefault="004730B4" w:rsidP="00E73B45">
            <w:pPr>
              <w:spacing w:before="60" w:after="60"/>
              <w:jc w:val="center"/>
              <w:rPr>
                <w:rFonts w:cs="Arial"/>
              </w:rPr>
            </w:pPr>
          </w:p>
        </w:tc>
      </w:tr>
      <w:tr w:rsidR="004730B4" w:rsidRPr="00C46E0C" w14:paraId="3C0D462A" w14:textId="77777777" w:rsidTr="00D85A77">
        <w:tc>
          <w:tcPr>
            <w:tcW w:w="1272" w:type="dxa"/>
            <w:vMerge/>
            <w:tcBorders>
              <w:left w:val="single" w:sz="12" w:space="0" w:color="auto"/>
            </w:tcBorders>
            <w:vAlign w:val="center"/>
          </w:tcPr>
          <w:p w14:paraId="59DCCC17" w14:textId="48BBF364" w:rsidR="004730B4" w:rsidRPr="00DD250F" w:rsidRDefault="004730B4" w:rsidP="00AE67CE">
            <w:pPr>
              <w:spacing w:before="60" w:after="60"/>
              <w:jc w:val="center"/>
              <w:rPr>
                <w:rFonts w:cs="Arial"/>
              </w:rPr>
            </w:pPr>
          </w:p>
        </w:tc>
        <w:tc>
          <w:tcPr>
            <w:tcW w:w="1049" w:type="dxa"/>
            <w:vMerge w:val="restart"/>
            <w:tcBorders>
              <w:top w:val="single" w:sz="12" w:space="0" w:color="auto"/>
              <w:right w:val="single" w:sz="12" w:space="0" w:color="auto"/>
            </w:tcBorders>
          </w:tcPr>
          <w:p w14:paraId="327FAE3F" w14:textId="399E3C2E" w:rsidR="004730B4" w:rsidRDefault="004730B4" w:rsidP="004730B4">
            <w:pPr>
              <w:spacing w:before="360" w:after="60"/>
              <w:jc w:val="center"/>
              <w:rPr>
                <w:rFonts w:cs="Arial"/>
              </w:rPr>
            </w:pPr>
            <w:r>
              <w:rPr>
                <w:rFonts w:cs="Arial"/>
              </w:rPr>
              <w:t>UO2</w:t>
            </w:r>
          </w:p>
        </w:tc>
        <w:tc>
          <w:tcPr>
            <w:tcW w:w="3633" w:type="dxa"/>
            <w:tcBorders>
              <w:top w:val="single" w:sz="12" w:space="0" w:color="auto"/>
              <w:left w:val="single" w:sz="12" w:space="0" w:color="auto"/>
              <w:bottom w:val="single" w:sz="4" w:space="0" w:color="auto"/>
            </w:tcBorders>
            <w:shd w:val="clear" w:color="auto" w:fill="auto"/>
            <w:vAlign w:val="center"/>
          </w:tcPr>
          <w:p w14:paraId="068E8592" w14:textId="789D7ED4" w:rsidR="004730B4" w:rsidRPr="00DD250F" w:rsidRDefault="004730B4" w:rsidP="00D85A77">
            <w:pPr>
              <w:spacing w:before="60" w:after="60"/>
              <w:rPr>
                <w:rFonts w:cs="Arial"/>
              </w:rPr>
            </w:pPr>
            <w:r>
              <w:rPr>
                <w:rFonts w:cs="Arial"/>
              </w:rPr>
              <w:t xml:space="preserve">Un (1) séminaire </w:t>
            </w:r>
            <w:r w:rsidR="00D85A77">
              <w:rPr>
                <w:rFonts w:cs="Arial"/>
              </w:rPr>
              <w:t xml:space="preserve">et </w:t>
            </w:r>
            <w:r>
              <w:rPr>
                <w:rFonts w:cs="Arial"/>
              </w:rPr>
              <w:t>un (1) compte rendu</w:t>
            </w:r>
          </w:p>
        </w:tc>
        <w:tc>
          <w:tcPr>
            <w:tcW w:w="1437" w:type="dxa"/>
            <w:tcBorders>
              <w:top w:val="single" w:sz="12" w:space="0" w:color="auto"/>
              <w:bottom w:val="single" w:sz="4" w:space="0" w:color="auto"/>
            </w:tcBorders>
            <w:vAlign w:val="center"/>
          </w:tcPr>
          <w:p w14:paraId="24A6E524" w14:textId="77777777" w:rsidR="004730B4" w:rsidRPr="00C46E0C" w:rsidRDefault="004730B4" w:rsidP="00AE67CE">
            <w:pPr>
              <w:spacing w:before="60" w:after="60"/>
              <w:jc w:val="center"/>
              <w:rPr>
                <w:rFonts w:cs="Arial"/>
              </w:rPr>
            </w:pPr>
            <w:r w:rsidRPr="00C46E0C">
              <w:rPr>
                <w:rFonts w:cs="Arial"/>
              </w:rPr>
              <w:t>………</w:t>
            </w:r>
          </w:p>
        </w:tc>
        <w:tc>
          <w:tcPr>
            <w:tcW w:w="1386" w:type="dxa"/>
            <w:tcBorders>
              <w:top w:val="single" w:sz="12" w:space="0" w:color="auto"/>
              <w:bottom w:val="single" w:sz="4" w:space="0" w:color="auto"/>
              <w:right w:val="single" w:sz="4" w:space="0" w:color="auto"/>
            </w:tcBorders>
            <w:vAlign w:val="center"/>
          </w:tcPr>
          <w:p w14:paraId="31B16B46" w14:textId="77777777" w:rsidR="004730B4" w:rsidRPr="00C46E0C" w:rsidRDefault="004730B4" w:rsidP="00AE67CE">
            <w:pPr>
              <w:spacing w:before="60" w:after="60"/>
              <w:jc w:val="center"/>
              <w:rPr>
                <w:rFonts w:cs="Arial"/>
              </w:rPr>
            </w:pPr>
            <w:r w:rsidRPr="00C46E0C">
              <w:rPr>
                <w:rFonts w:cs="Arial"/>
              </w:rPr>
              <w:t>………</w:t>
            </w:r>
          </w:p>
        </w:tc>
        <w:tc>
          <w:tcPr>
            <w:tcW w:w="1328" w:type="dxa"/>
            <w:vMerge w:val="restart"/>
            <w:tcBorders>
              <w:top w:val="single" w:sz="12" w:space="0" w:color="auto"/>
              <w:left w:val="single" w:sz="4" w:space="0" w:color="auto"/>
              <w:right w:val="single" w:sz="12" w:space="0" w:color="auto"/>
            </w:tcBorders>
            <w:vAlign w:val="center"/>
          </w:tcPr>
          <w:p w14:paraId="7E6D240F" w14:textId="77777777" w:rsidR="004730B4" w:rsidRPr="00C46E0C" w:rsidRDefault="004730B4" w:rsidP="00AE67CE">
            <w:pPr>
              <w:spacing w:before="60" w:after="60"/>
              <w:jc w:val="center"/>
              <w:rPr>
                <w:rFonts w:cs="Arial"/>
              </w:rPr>
            </w:pPr>
            <w:r w:rsidRPr="00386ADB">
              <w:rPr>
                <w:rFonts w:cs="Arial"/>
              </w:rPr>
              <w:t>Précisé dans le bon de commande</w:t>
            </w:r>
          </w:p>
        </w:tc>
      </w:tr>
      <w:tr w:rsidR="004730B4" w:rsidRPr="00C46E0C" w14:paraId="12F0748D" w14:textId="77777777" w:rsidTr="00D85A77">
        <w:tc>
          <w:tcPr>
            <w:tcW w:w="1272" w:type="dxa"/>
            <w:vMerge/>
            <w:tcBorders>
              <w:left w:val="single" w:sz="12" w:space="0" w:color="auto"/>
            </w:tcBorders>
            <w:vAlign w:val="center"/>
          </w:tcPr>
          <w:p w14:paraId="644996B1" w14:textId="77777777" w:rsidR="004730B4" w:rsidRPr="00DD250F" w:rsidRDefault="004730B4" w:rsidP="00AE67CE">
            <w:pPr>
              <w:spacing w:before="60" w:after="60"/>
              <w:jc w:val="center"/>
              <w:rPr>
                <w:rFonts w:cs="Arial"/>
              </w:rPr>
            </w:pPr>
          </w:p>
        </w:tc>
        <w:tc>
          <w:tcPr>
            <w:tcW w:w="1049" w:type="dxa"/>
            <w:vMerge/>
            <w:tcBorders>
              <w:right w:val="single" w:sz="12" w:space="0" w:color="auto"/>
            </w:tcBorders>
          </w:tcPr>
          <w:p w14:paraId="7BA2E05F" w14:textId="77777777" w:rsidR="004730B4" w:rsidRPr="00E73B45" w:rsidRDefault="004730B4" w:rsidP="00AE67CE">
            <w:pPr>
              <w:spacing w:before="60" w:after="60"/>
              <w:jc w:val="right"/>
              <w:rPr>
                <w:rFonts w:cs="Arial"/>
                <w:i/>
                <w:sz w:val="16"/>
                <w:szCs w:val="16"/>
              </w:rPr>
            </w:pPr>
          </w:p>
        </w:tc>
        <w:tc>
          <w:tcPr>
            <w:tcW w:w="3633" w:type="dxa"/>
            <w:tcBorders>
              <w:top w:val="single" w:sz="4" w:space="0" w:color="auto"/>
              <w:left w:val="single" w:sz="12" w:space="0" w:color="auto"/>
              <w:bottom w:val="single" w:sz="4" w:space="0" w:color="auto"/>
            </w:tcBorders>
            <w:shd w:val="clear" w:color="auto" w:fill="auto"/>
            <w:vAlign w:val="center"/>
          </w:tcPr>
          <w:p w14:paraId="7626F18B" w14:textId="674C77F5" w:rsidR="004730B4" w:rsidRPr="00E73B45" w:rsidRDefault="004730B4" w:rsidP="00AE67CE">
            <w:pPr>
              <w:spacing w:before="60" w:after="60"/>
              <w:jc w:val="right"/>
              <w:rPr>
                <w:rFonts w:cs="Arial"/>
                <w:sz w:val="16"/>
                <w:szCs w:val="16"/>
              </w:rPr>
            </w:pPr>
            <w:r w:rsidRPr="00E73B45">
              <w:rPr>
                <w:rFonts w:cs="Arial"/>
                <w:i/>
                <w:sz w:val="16"/>
                <w:szCs w:val="16"/>
              </w:rPr>
              <w:t xml:space="preserve">dont part du mandataire </w:t>
            </w:r>
          </w:p>
        </w:tc>
        <w:tc>
          <w:tcPr>
            <w:tcW w:w="1437" w:type="dxa"/>
            <w:tcBorders>
              <w:top w:val="single" w:sz="4" w:space="0" w:color="auto"/>
              <w:bottom w:val="single" w:sz="4" w:space="0" w:color="auto"/>
            </w:tcBorders>
            <w:vAlign w:val="center"/>
          </w:tcPr>
          <w:p w14:paraId="4F0D5B41" w14:textId="77777777" w:rsidR="004730B4" w:rsidRPr="00C46E0C" w:rsidRDefault="004730B4" w:rsidP="00AE67CE">
            <w:pPr>
              <w:spacing w:before="60" w:after="60"/>
              <w:jc w:val="center"/>
              <w:rPr>
                <w:rFonts w:cs="Arial"/>
              </w:rPr>
            </w:pPr>
            <w:r w:rsidRPr="00C46E0C">
              <w:rPr>
                <w:rFonts w:cs="Arial"/>
              </w:rPr>
              <w:t>………</w:t>
            </w:r>
          </w:p>
        </w:tc>
        <w:tc>
          <w:tcPr>
            <w:tcW w:w="1386" w:type="dxa"/>
            <w:tcBorders>
              <w:top w:val="single" w:sz="4" w:space="0" w:color="auto"/>
              <w:bottom w:val="single" w:sz="4" w:space="0" w:color="auto"/>
              <w:right w:val="single" w:sz="4" w:space="0" w:color="auto"/>
            </w:tcBorders>
            <w:vAlign w:val="center"/>
          </w:tcPr>
          <w:p w14:paraId="4E72ACE5" w14:textId="77777777" w:rsidR="004730B4" w:rsidRPr="00C46E0C" w:rsidRDefault="004730B4" w:rsidP="00AE67CE">
            <w:pPr>
              <w:spacing w:before="60" w:after="60"/>
              <w:jc w:val="center"/>
              <w:rPr>
                <w:rFonts w:cs="Arial"/>
              </w:rPr>
            </w:pPr>
            <w:r w:rsidRPr="00C46E0C">
              <w:rPr>
                <w:rFonts w:cs="Arial"/>
              </w:rPr>
              <w:t>………</w:t>
            </w:r>
          </w:p>
        </w:tc>
        <w:tc>
          <w:tcPr>
            <w:tcW w:w="1328" w:type="dxa"/>
            <w:vMerge/>
            <w:tcBorders>
              <w:left w:val="single" w:sz="4" w:space="0" w:color="auto"/>
              <w:right w:val="single" w:sz="12" w:space="0" w:color="auto"/>
            </w:tcBorders>
            <w:vAlign w:val="center"/>
          </w:tcPr>
          <w:p w14:paraId="205FB6B1" w14:textId="77777777" w:rsidR="004730B4" w:rsidRPr="00C46E0C" w:rsidRDefault="004730B4" w:rsidP="00AE67CE">
            <w:pPr>
              <w:spacing w:before="60" w:after="60"/>
              <w:jc w:val="center"/>
              <w:rPr>
                <w:rFonts w:cs="Arial"/>
              </w:rPr>
            </w:pPr>
          </w:p>
        </w:tc>
      </w:tr>
      <w:tr w:rsidR="004730B4" w:rsidRPr="00C46E0C" w14:paraId="1A2085FE" w14:textId="77777777" w:rsidTr="00D85A77">
        <w:tc>
          <w:tcPr>
            <w:tcW w:w="1272" w:type="dxa"/>
            <w:vMerge/>
            <w:tcBorders>
              <w:left w:val="single" w:sz="12" w:space="0" w:color="auto"/>
              <w:bottom w:val="single" w:sz="12" w:space="0" w:color="auto"/>
            </w:tcBorders>
            <w:vAlign w:val="center"/>
          </w:tcPr>
          <w:p w14:paraId="2DB40D4E" w14:textId="77777777" w:rsidR="004730B4" w:rsidRPr="00DD250F" w:rsidRDefault="004730B4" w:rsidP="00AE67CE">
            <w:pPr>
              <w:spacing w:before="60" w:after="60"/>
              <w:jc w:val="center"/>
              <w:rPr>
                <w:rFonts w:cs="Arial"/>
              </w:rPr>
            </w:pPr>
          </w:p>
        </w:tc>
        <w:tc>
          <w:tcPr>
            <w:tcW w:w="1049" w:type="dxa"/>
            <w:vMerge/>
            <w:tcBorders>
              <w:bottom w:val="single" w:sz="12" w:space="0" w:color="auto"/>
              <w:right w:val="single" w:sz="12" w:space="0" w:color="auto"/>
            </w:tcBorders>
          </w:tcPr>
          <w:p w14:paraId="6EAA6782" w14:textId="77777777" w:rsidR="004730B4" w:rsidRPr="00E73B45" w:rsidRDefault="004730B4" w:rsidP="00AE67CE">
            <w:pPr>
              <w:spacing w:before="60" w:after="60"/>
              <w:jc w:val="right"/>
              <w:rPr>
                <w:rFonts w:cs="Arial"/>
                <w:i/>
                <w:sz w:val="16"/>
                <w:szCs w:val="16"/>
              </w:rPr>
            </w:pPr>
          </w:p>
        </w:tc>
        <w:tc>
          <w:tcPr>
            <w:tcW w:w="3633" w:type="dxa"/>
            <w:tcBorders>
              <w:top w:val="single" w:sz="4" w:space="0" w:color="auto"/>
              <w:left w:val="single" w:sz="12" w:space="0" w:color="auto"/>
              <w:bottom w:val="single" w:sz="12" w:space="0" w:color="auto"/>
            </w:tcBorders>
            <w:shd w:val="clear" w:color="auto" w:fill="auto"/>
            <w:vAlign w:val="center"/>
          </w:tcPr>
          <w:p w14:paraId="6F6F3922" w14:textId="32868BB5" w:rsidR="004730B4" w:rsidRPr="00E73B45" w:rsidRDefault="004730B4" w:rsidP="00AE67CE">
            <w:pPr>
              <w:spacing w:before="60" w:after="60"/>
              <w:jc w:val="right"/>
              <w:rPr>
                <w:rFonts w:cs="Arial"/>
                <w:sz w:val="16"/>
                <w:szCs w:val="16"/>
              </w:rPr>
            </w:pPr>
            <w:r w:rsidRPr="00E73B45">
              <w:rPr>
                <w:rFonts w:cs="Arial"/>
                <w:i/>
                <w:sz w:val="16"/>
                <w:szCs w:val="16"/>
              </w:rPr>
              <w:t xml:space="preserve">dont part </w:t>
            </w:r>
            <w:r w:rsidRPr="00E73B45">
              <w:rPr>
                <w:i/>
                <w:sz w:val="16"/>
                <w:szCs w:val="16"/>
              </w:rPr>
              <w:t>de « x »</w:t>
            </w:r>
            <w:r>
              <w:rPr>
                <w:i/>
                <w:sz w:val="16"/>
                <w:szCs w:val="16"/>
              </w:rPr>
              <w:t xml:space="preserve"> </w:t>
            </w:r>
            <w:r w:rsidRPr="00E73B45">
              <w:rPr>
                <w:i/>
                <w:sz w:val="16"/>
                <w:szCs w:val="16"/>
              </w:rPr>
              <w:t>(membre du groupement )</w:t>
            </w:r>
          </w:p>
        </w:tc>
        <w:tc>
          <w:tcPr>
            <w:tcW w:w="1437" w:type="dxa"/>
            <w:tcBorders>
              <w:top w:val="single" w:sz="4" w:space="0" w:color="auto"/>
              <w:bottom w:val="single" w:sz="12" w:space="0" w:color="auto"/>
            </w:tcBorders>
            <w:vAlign w:val="center"/>
          </w:tcPr>
          <w:p w14:paraId="18EFB85A" w14:textId="77777777" w:rsidR="004730B4" w:rsidRPr="00C46E0C" w:rsidRDefault="004730B4" w:rsidP="00AE67CE">
            <w:pPr>
              <w:spacing w:before="60" w:after="60"/>
              <w:jc w:val="center"/>
              <w:rPr>
                <w:rFonts w:cs="Arial"/>
              </w:rPr>
            </w:pPr>
            <w:r w:rsidRPr="00C46E0C">
              <w:rPr>
                <w:rFonts w:cs="Arial"/>
              </w:rPr>
              <w:t>………</w:t>
            </w:r>
          </w:p>
        </w:tc>
        <w:tc>
          <w:tcPr>
            <w:tcW w:w="1386" w:type="dxa"/>
            <w:tcBorders>
              <w:top w:val="single" w:sz="4" w:space="0" w:color="auto"/>
              <w:bottom w:val="single" w:sz="12" w:space="0" w:color="auto"/>
              <w:right w:val="single" w:sz="4" w:space="0" w:color="auto"/>
            </w:tcBorders>
            <w:vAlign w:val="center"/>
          </w:tcPr>
          <w:p w14:paraId="3F8016DB" w14:textId="77777777" w:rsidR="004730B4" w:rsidRPr="00C46E0C" w:rsidRDefault="004730B4" w:rsidP="00AE67CE">
            <w:pPr>
              <w:spacing w:before="60" w:after="60"/>
              <w:jc w:val="center"/>
              <w:rPr>
                <w:rFonts w:cs="Arial"/>
              </w:rPr>
            </w:pPr>
            <w:r w:rsidRPr="00C46E0C">
              <w:rPr>
                <w:rFonts w:cs="Arial"/>
              </w:rPr>
              <w:t>………</w:t>
            </w:r>
          </w:p>
        </w:tc>
        <w:tc>
          <w:tcPr>
            <w:tcW w:w="1328" w:type="dxa"/>
            <w:vMerge/>
            <w:tcBorders>
              <w:left w:val="single" w:sz="4" w:space="0" w:color="auto"/>
              <w:bottom w:val="single" w:sz="12" w:space="0" w:color="auto"/>
              <w:right w:val="single" w:sz="12" w:space="0" w:color="auto"/>
            </w:tcBorders>
            <w:vAlign w:val="center"/>
          </w:tcPr>
          <w:p w14:paraId="2FF9B84F" w14:textId="77777777" w:rsidR="004730B4" w:rsidRPr="00C46E0C" w:rsidRDefault="004730B4" w:rsidP="00AE67CE">
            <w:pPr>
              <w:spacing w:before="60" w:after="60"/>
              <w:jc w:val="center"/>
              <w:rPr>
                <w:rFonts w:cs="Arial"/>
              </w:rPr>
            </w:pPr>
          </w:p>
        </w:tc>
      </w:tr>
    </w:tbl>
    <w:p w14:paraId="6CC12C33" w14:textId="77777777" w:rsidR="00191690" w:rsidRDefault="00191690" w:rsidP="00191690"/>
    <w:p w14:paraId="1B7DBCB4" w14:textId="080D13CF" w:rsidR="009D3DD3" w:rsidRDefault="009D3DD3" w:rsidP="00C7548A"/>
    <w:p w14:paraId="41BD05FB" w14:textId="3F4C34C8" w:rsidR="002F2CF9" w:rsidRDefault="009D3DD3" w:rsidP="00586673">
      <w:pPr>
        <w:tabs>
          <w:tab w:val="left" w:pos="4536"/>
        </w:tabs>
        <w:rPr>
          <w:rFonts w:cs="Arial"/>
        </w:rPr>
      </w:pPr>
      <w:r w:rsidRPr="00F346D9">
        <w:rPr>
          <w:rFonts w:cs="Arial"/>
          <w:b/>
        </w:rPr>
        <w:t>Les montants minimum et maximum de l’accord-</w:t>
      </w:r>
      <w:r w:rsidRPr="006A2C48">
        <w:rPr>
          <w:rFonts w:cs="Arial"/>
          <w:b/>
        </w:rPr>
        <w:t>cadre</w:t>
      </w:r>
      <w:r w:rsidRPr="00CB46F0">
        <w:rPr>
          <w:rFonts w:cs="Arial"/>
          <w:b/>
        </w:rPr>
        <w:t xml:space="preserve"> se décompose</w:t>
      </w:r>
      <w:r w:rsidR="0012794E" w:rsidRPr="00CB46F0">
        <w:rPr>
          <w:rFonts w:cs="Arial"/>
          <w:b/>
        </w:rPr>
        <w:t>nt</w:t>
      </w:r>
      <w:r w:rsidRPr="00CB46F0">
        <w:rPr>
          <w:rFonts w:cs="Arial"/>
          <w:b/>
        </w:rPr>
        <w:t xml:space="preserve"> de la manière suivante :</w:t>
      </w:r>
      <w:r w:rsidRPr="00261C8C">
        <w:rPr>
          <w:rFonts w:cs="Arial"/>
        </w:rPr>
        <w:t> </w:t>
      </w:r>
    </w:p>
    <w:p w14:paraId="6991B273" w14:textId="77777777" w:rsidR="00D85A77" w:rsidRDefault="00D85A77" w:rsidP="00586673">
      <w:pPr>
        <w:tabs>
          <w:tab w:val="left" w:pos="4536"/>
        </w:tabs>
      </w:pPr>
    </w:p>
    <w:tbl>
      <w:tblPr>
        <w:tblStyle w:val="Grilledutableau1"/>
        <w:tblW w:w="10065" w:type="dxa"/>
        <w:tblInd w:w="-142" w:type="dxa"/>
        <w:tblLook w:val="04A0" w:firstRow="1" w:lastRow="0" w:firstColumn="1" w:lastColumn="0" w:noHBand="0" w:noVBand="1"/>
      </w:tblPr>
      <w:tblGrid>
        <w:gridCol w:w="6238"/>
        <w:gridCol w:w="1984"/>
        <w:gridCol w:w="1843"/>
      </w:tblGrid>
      <w:tr w:rsidR="009D3DD3" w:rsidRPr="009D3DD3" w14:paraId="36700784" w14:textId="77777777" w:rsidTr="00CB46F0">
        <w:trPr>
          <w:trHeight w:val="377"/>
        </w:trPr>
        <w:tc>
          <w:tcPr>
            <w:tcW w:w="6238" w:type="dxa"/>
            <w:tcBorders>
              <w:top w:val="nil"/>
              <w:left w:val="nil"/>
              <w:bottom w:val="single" w:sz="12" w:space="0" w:color="auto"/>
              <w:right w:val="single" w:sz="12" w:space="0" w:color="auto"/>
            </w:tcBorders>
          </w:tcPr>
          <w:p w14:paraId="0B9B37B1" w14:textId="77777777" w:rsidR="009D3DD3" w:rsidRPr="009D3DD3" w:rsidRDefault="009D3DD3" w:rsidP="009D3DD3">
            <w:pPr>
              <w:rPr>
                <w:rFonts w:cs="Arial"/>
              </w:rPr>
            </w:pPr>
          </w:p>
        </w:tc>
        <w:tc>
          <w:tcPr>
            <w:tcW w:w="1984" w:type="dxa"/>
            <w:tcBorders>
              <w:top w:val="single" w:sz="12" w:space="0" w:color="auto"/>
              <w:left w:val="single" w:sz="12" w:space="0" w:color="auto"/>
              <w:bottom w:val="single" w:sz="12" w:space="0" w:color="auto"/>
            </w:tcBorders>
            <w:shd w:val="clear" w:color="auto" w:fill="D9D9D9" w:themeFill="background1" w:themeFillShade="D9"/>
            <w:vAlign w:val="center"/>
          </w:tcPr>
          <w:p w14:paraId="5CB43C0B" w14:textId="3760B877" w:rsidR="009D3DD3" w:rsidRPr="009D3DD3" w:rsidRDefault="009D3DD3" w:rsidP="00FA5735">
            <w:pPr>
              <w:spacing w:before="120" w:after="120"/>
              <w:jc w:val="center"/>
              <w:rPr>
                <w:rFonts w:cs="Arial"/>
                <w:b/>
              </w:rPr>
            </w:pPr>
            <w:r w:rsidRPr="009D3DD3">
              <w:rPr>
                <w:rFonts w:cs="Arial"/>
                <w:b/>
              </w:rPr>
              <w:t>En €</w:t>
            </w:r>
            <w:r w:rsidR="007631A7">
              <w:rPr>
                <w:rFonts w:cs="Arial"/>
                <w:b/>
              </w:rPr>
              <w:t> </w:t>
            </w:r>
            <w:r w:rsidRPr="009D3DD3">
              <w:rPr>
                <w:rFonts w:cs="Arial"/>
                <w:b/>
              </w:rPr>
              <w:t>HT</w:t>
            </w:r>
          </w:p>
        </w:tc>
        <w:tc>
          <w:tcPr>
            <w:tcW w:w="1843" w:type="dxa"/>
            <w:tcBorders>
              <w:top w:val="single" w:sz="12" w:space="0" w:color="auto"/>
              <w:bottom w:val="single" w:sz="12" w:space="0" w:color="auto"/>
              <w:right w:val="single" w:sz="12" w:space="0" w:color="auto"/>
            </w:tcBorders>
            <w:shd w:val="clear" w:color="auto" w:fill="D9D9D9" w:themeFill="background1" w:themeFillShade="D9"/>
            <w:vAlign w:val="center"/>
          </w:tcPr>
          <w:p w14:paraId="09705B6D" w14:textId="6FEA3048" w:rsidR="009D3DD3" w:rsidRPr="009D3DD3" w:rsidRDefault="009D3DD3" w:rsidP="00FA5735">
            <w:pPr>
              <w:spacing w:before="120" w:after="120"/>
              <w:jc w:val="center"/>
              <w:rPr>
                <w:rFonts w:cs="Arial"/>
                <w:b/>
              </w:rPr>
            </w:pPr>
            <w:r w:rsidRPr="009D3DD3">
              <w:rPr>
                <w:rFonts w:cs="Arial"/>
                <w:b/>
              </w:rPr>
              <w:t>En €</w:t>
            </w:r>
            <w:r w:rsidR="007631A7">
              <w:rPr>
                <w:rFonts w:cs="Arial"/>
                <w:b/>
              </w:rPr>
              <w:t> </w:t>
            </w:r>
            <w:r w:rsidRPr="009D3DD3">
              <w:rPr>
                <w:rFonts w:cs="Arial"/>
                <w:b/>
              </w:rPr>
              <w:t>TTC</w:t>
            </w:r>
          </w:p>
        </w:tc>
      </w:tr>
      <w:tr w:rsidR="009D3DD3" w:rsidRPr="009D3DD3" w14:paraId="468DC5AA" w14:textId="77777777" w:rsidTr="00CB46F0">
        <w:trPr>
          <w:trHeight w:val="1066"/>
        </w:trPr>
        <w:tc>
          <w:tcPr>
            <w:tcW w:w="6238" w:type="dxa"/>
            <w:tcBorders>
              <w:top w:val="single" w:sz="12" w:space="0" w:color="auto"/>
              <w:left w:val="single" w:sz="12" w:space="0" w:color="auto"/>
              <w:bottom w:val="single" w:sz="2" w:space="0" w:color="auto"/>
              <w:right w:val="single" w:sz="2" w:space="0" w:color="auto"/>
            </w:tcBorders>
            <w:shd w:val="clear" w:color="auto" w:fill="D9D9D9" w:themeFill="background1" w:themeFillShade="D9"/>
          </w:tcPr>
          <w:p w14:paraId="1AF12082" w14:textId="7F04865F" w:rsidR="009D3DD3" w:rsidRDefault="009D3DD3" w:rsidP="009D3DD3">
            <w:pPr>
              <w:spacing w:before="120"/>
              <w:rPr>
                <w:rFonts w:cs="Arial"/>
                <w:b/>
              </w:rPr>
            </w:pPr>
            <w:r w:rsidRPr="009D3DD3">
              <w:rPr>
                <w:rFonts w:cs="Arial"/>
                <w:b/>
              </w:rPr>
              <w:t>Montant total minimum de l’accord-cadre pour une période</w:t>
            </w:r>
          </w:p>
          <w:p w14:paraId="02DD1F29" w14:textId="74F268CC" w:rsidR="0012794E" w:rsidRPr="0012794E" w:rsidRDefault="0012794E" w:rsidP="0026221D">
            <w:pPr>
              <w:spacing w:before="120"/>
              <w:rPr>
                <w:rFonts w:cs="Arial"/>
              </w:rPr>
            </w:pPr>
            <w:r w:rsidRPr="0012794E">
              <w:rPr>
                <w:rFonts w:cs="Arial"/>
              </w:rPr>
              <w:t>Le montant total minimum de l’accord-cadre correspond au montant des postes forfaitaires (PF1</w:t>
            </w:r>
            <w:r w:rsidR="0051148A">
              <w:rPr>
                <w:rFonts w:cs="Arial"/>
              </w:rPr>
              <w:t>+</w:t>
            </w:r>
            <w:r w:rsidRPr="0012794E">
              <w:rPr>
                <w:rFonts w:cs="Arial"/>
              </w:rPr>
              <w:t xml:space="preserve"> PF2) pour une période de 1</w:t>
            </w:r>
            <w:r w:rsidR="0026221D">
              <w:rPr>
                <w:rFonts w:cs="Arial"/>
              </w:rPr>
              <w:t>2</w:t>
            </w:r>
            <w:r w:rsidRPr="0012794E">
              <w:rPr>
                <w:rFonts w:cs="Arial"/>
              </w:rPr>
              <w:t xml:space="preserve"> mois.</w:t>
            </w:r>
          </w:p>
        </w:tc>
        <w:tc>
          <w:tcPr>
            <w:tcW w:w="1984" w:type="dxa"/>
            <w:tcBorders>
              <w:top w:val="single" w:sz="12" w:space="0" w:color="auto"/>
              <w:left w:val="single" w:sz="2" w:space="0" w:color="auto"/>
              <w:bottom w:val="single" w:sz="2" w:space="0" w:color="auto"/>
              <w:right w:val="single" w:sz="2" w:space="0" w:color="auto"/>
            </w:tcBorders>
          </w:tcPr>
          <w:p w14:paraId="780110F4" w14:textId="77777777" w:rsidR="009D3DD3" w:rsidRPr="009D3DD3" w:rsidRDefault="009D3DD3" w:rsidP="00D85A77">
            <w:pPr>
              <w:spacing w:before="360"/>
              <w:jc w:val="center"/>
              <w:rPr>
                <w:rFonts w:cs="Arial"/>
              </w:rPr>
            </w:pPr>
            <w:r w:rsidRPr="009D3DD3">
              <w:rPr>
                <w:rFonts w:cs="Arial"/>
              </w:rPr>
              <w:t>………</w:t>
            </w:r>
          </w:p>
        </w:tc>
        <w:tc>
          <w:tcPr>
            <w:tcW w:w="1843" w:type="dxa"/>
            <w:tcBorders>
              <w:top w:val="single" w:sz="12" w:space="0" w:color="auto"/>
              <w:left w:val="single" w:sz="2" w:space="0" w:color="auto"/>
              <w:bottom w:val="single" w:sz="2" w:space="0" w:color="auto"/>
              <w:right w:val="single" w:sz="12" w:space="0" w:color="auto"/>
            </w:tcBorders>
          </w:tcPr>
          <w:p w14:paraId="5BF44F29" w14:textId="77777777" w:rsidR="009D3DD3" w:rsidRPr="009D3DD3" w:rsidRDefault="009D3DD3" w:rsidP="00D85A77">
            <w:pPr>
              <w:spacing w:before="360"/>
              <w:jc w:val="center"/>
              <w:rPr>
                <w:rFonts w:cs="Arial"/>
              </w:rPr>
            </w:pPr>
            <w:r w:rsidRPr="009D3DD3">
              <w:rPr>
                <w:rFonts w:cs="Arial"/>
              </w:rPr>
              <w:t>………</w:t>
            </w:r>
          </w:p>
        </w:tc>
      </w:tr>
      <w:tr w:rsidR="009D3DD3" w:rsidRPr="009D3DD3" w14:paraId="5524D556" w14:textId="77777777" w:rsidTr="009B0709">
        <w:trPr>
          <w:trHeight w:val="414"/>
        </w:trPr>
        <w:tc>
          <w:tcPr>
            <w:tcW w:w="6238" w:type="dxa"/>
            <w:tcBorders>
              <w:top w:val="single" w:sz="2" w:space="0" w:color="auto"/>
              <w:left w:val="single" w:sz="12" w:space="0" w:color="auto"/>
              <w:bottom w:val="single" w:sz="2" w:space="0" w:color="auto"/>
              <w:right w:val="single" w:sz="2" w:space="0" w:color="auto"/>
            </w:tcBorders>
          </w:tcPr>
          <w:p w14:paraId="47E4E891" w14:textId="77777777" w:rsidR="009D3DD3" w:rsidRPr="009D3DD3" w:rsidRDefault="009D3DD3" w:rsidP="009D3DD3">
            <w:pPr>
              <w:spacing w:before="120"/>
              <w:jc w:val="right"/>
              <w:rPr>
                <w:rFonts w:cs="Arial"/>
                <w:i/>
              </w:rPr>
            </w:pPr>
            <w:r w:rsidRPr="009D3DD3">
              <w:rPr>
                <w:rFonts w:cs="Arial"/>
                <w:i/>
              </w:rPr>
              <w:t>dont part du mandataire</w:t>
            </w:r>
          </w:p>
        </w:tc>
        <w:tc>
          <w:tcPr>
            <w:tcW w:w="1984" w:type="dxa"/>
            <w:tcBorders>
              <w:top w:val="single" w:sz="2" w:space="0" w:color="auto"/>
              <w:left w:val="single" w:sz="2" w:space="0" w:color="auto"/>
              <w:bottom w:val="single" w:sz="2" w:space="0" w:color="auto"/>
              <w:right w:val="single" w:sz="2" w:space="0" w:color="auto"/>
            </w:tcBorders>
          </w:tcPr>
          <w:p w14:paraId="33BAEC67" w14:textId="77777777" w:rsidR="009D3DD3" w:rsidRPr="009D3DD3" w:rsidRDefault="009D3DD3" w:rsidP="009D3DD3">
            <w:pPr>
              <w:spacing w:before="120"/>
              <w:jc w:val="center"/>
              <w:rPr>
                <w:rFonts w:cs="Arial"/>
              </w:rPr>
            </w:pPr>
            <w:r w:rsidRPr="009D3DD3">
              <w:rPr>
                <w:rFonts w:cs="Arial"/>
              </w:rPr>
              <w:t>………</w:t>
            </w:r>
          </w:p>
        </w:tc>
        <w:tc>
          <w:tcPr>
            <w:tcW w:w="1843" w:type="dxa"/>
            <w:tcBorders>
              <w:top w:val="single" w:sz="2" w:space="0" w:color="auto"/>
              <w:left w:val="single" w:sz="2" w:space="0" w:color="auto"/>
              <w:bottom w:val="single" w:sz="2" w:space="0" w:color="auto"/>
              <w:right w:val="single" w:sz="12" w:space="0" w:color="auto"/>
            </w:tcBorders>
          </w:tcPr>
          <w:p w14:paraId="250BEA36" w14:textId="77777777" w:rsidR="009D3DD3" w:rsidRPr="009D3DD3" w:rsidRDefault="009D3DD3" w:rsidP="009D3DD3">
            <w:pPr>
              <w:spacing w:before="120"/>
              <w:jc w:val="center"/>
              <w:rPr>
                <w:rFonts w:cs="Arial"/>
              </w:rPr>
            </w:pPr>
            <w:r w:rsidRPr="009D3DD3">
              <w:rPr>
                <w:rFonts w:cs="Arial"/>
              </w:rPr>
              <w:t>………</w:t>
            </w:r>
          </w:p>
        </w:tc>
      </w:tr>
      <w:tr w:rsidR="009D3DD3" w:rsidRPr="009D3DD3" w14:paraId="3A00FD59" w14:textId="77777777" w:rsidTr="009B0709">
        <w:trPr>
          <w:trHeight w:val="420"/>
        </w:trPr>
        <w:tc>
          <w:tcPr>
            <w:tcW w:w="6238" w:type="dxa"/>
            <w:tcBorders>
              <w:top w:val="single" w:sz="2" w:space="0" w:color="auto"/>
              <w:left w:val="single" w:sz="12" w:space="0" w:color="auto"/>
              <w:bottom w:val="single" w:sz="2" w:space="0" w:color="auto"/>
              <w:right w:val="single" w:sz="2" w:space="0" w:color="auto"/>
            </w:tcBorders>
          </w:tcPr>
          <w:p w14:paraId="0119152B" w14:textId="2D7CD0ED" w:rsidR="009D3DD3" w:rsidRPr="009D3DD3" w:rsidRDefault="009D3DD3" w:rsidP="009D3DD3">
            <w:pPr>
              <w:spacing w:before="120"/>
              <w:jc w:val="right"/>
              <w:rPr>
                <w:rFonts w:cs="Arial"/>
                <w:i/>
              </w:rPr>
            </w:pPr>
            <w:r w:rsidRPr="009D3DD3">
              <w:rPr>
                <w:rFonts w:cs="Arial"/>
                <w:i/>
              </w:rPr>
              <w:t xml:space="preserve">dont part </w:t>
            </w:r>
            <w:r w:rsidR="00320AAE">
              <w:rPr>
                <w:i/>
              </w:rPr>
              <w:t xml:space="preserve">de </w:t>
            </w:r>
            <w:r w:rsidR="00320AAE" w:rsidRPr="002F2CF9">
              <w:rPr>
                <w:i/>
              </w:rPr>
              <w:t>« x »</w:t>
            </w:r>
            <w:r w:rsidR="004123CF">
              <w:rPr>
                <w:i/>
              </w:rPr>
              <w:t xml:space="preserve"> </w:t>
            </w:r>
            <w:r w:rsidR="00320AAE">
              <w:rPr>
                <w:i/>
              </w:rPr>
              <w:t>(membre du groupement</w:t>
            </w:r>
            <w:r w:rsidR="00320AAE" w:rsidRPr="002F2CF9">
              <w:rPr>
                <w:i/>
              </w:rPr>
              <w:t xml:space="preserve"> </w:t>
            </w:r>
            <w:r w:rsidR="00320AAE">
              <w:rPr>
                <w:i/>
              </w:rPr>
              <w:t>)</w:t>
            </w:r>
          </w:p>
        </w:tc>
        <w:tc>
          <w:tcPr>
            <w:tcW w:w="1984" w:type="dxa"/>
            <w:tcBorders>
              <w:top w:val="single" w:sz="2" w:space="0" w:color="auto"/>
              <w:left w:val="single" w:sz="2" w:space="0" w:color="auto"/>
              <w:bottom w:val="single" w:sz="2" w:space="0" w:color="auto"/>
              <w:right w:val="single" w:sz="2" w:space="0" w:color="auto"/>
            </w:tcBorders>
          </w:tcPr>
          <w:p w14:paraId="3A4DCCB1" w14:textId="77777777" w:rsidR="009D3DD3" w:rsidRPr="009D3DD3" w:rsidRDefault="009D3DD3" w:rsidP="009D3DD3">
            <w:pPr>
              <w:spacing w:before="120"/>
              <w:jc w:val="center"/>
              <w:rPr>
                <w:rFonts w:cs="Arial"/>
              </w:rPr>
            </w:pPr>
            <w:r w:rsidRPr="009D3DD3">
              <w:rPr>
                <w:rFonts w:cs="Arial"/>
              </w:rPr>
              <w:t>………</w:t>
            </w:r>
          </w:p>
        </w:tc>
        <w:tc>
          <w:tcPr>
            <w:tcW w:w="1843" w:type="dxa"/>
            <w:tcBorders>
              <w:top w:val="single" w:sz="2" w:space="0" w:color="auto"/>
              <w:left w:val="single" w:sz="2" w:space="0" w:color="auto"/>
              <w:bottom w:val="single" w:sz="2" w:space="0" w:color="auto"/>
              <w:right w:val="single" w:sz="12" w:space="0" w:color="auto"/>
            </w:tcBorders>
          </w:tcPr>
          <w:p w14:paraId="55B27360" w14:textId="77777777" w:rsidR="009D3DD3" w:rsidRPr="009D3DD3" w:rsidRDefault="009D3DD3" w:rsidP="009D3DD3">
            <w:pPr>
              <w:spacing w:before="120"/>
              <w:jc w:val="center"/>
              <w:rPr>
                <w:rFonts w:cs="Arial"/>
              </w:rPr>
            </w:pPr>
            <w:r w:rsidRPr="009D3DD3">
              <w:rPr>
                <w:rFonts w:cs="Arial"/>
              </w:rPr>
              <w:t>………</w:t>
            </w:r>
          </w:p>
        </w:tc>
      </w:tr>
      <w:tr w:rsidR="009D3DD3" w:rsidRPr="00D03AB8" w14:paraId="2A9F75BD" w14:textId="77777777" w:rsidTr="00D85A77">
        <w:trPr>
          <w:trHeight w:val="1491"/>
        </w:trPr>
        <w:tc>
          <w:tcPr>
            <w:tcW w:w="6238" w:type="dxa"/>
            <w:tcBorders>
              <w:top w:val="single" w:sz="2" w:space="0" w:color="auto"/>
              <w:left w:val="single" w:sz="12" w:space="0" w:color="auto"/>
              <w:bottom w:val="single" w:sz="2" w:space="0" w:color="auto"/>
              <w:right w:val="single" w:sz="2" w:space="0" w:color="auto"/>
            </w:tcBorders>
            <w:shd w:val="clear" w:color="auto" w:fill="D9D9D9" w:themeFill="background1" w:themeFillShade="D9"/>
          </w:tcPr>
          <w:p w14:paraId="34EAE2C7" w14:textId="0CDC0ADE" w:rsidR="007A3C7A" w:rsidRDefault="009D3DD3" w:rsidP="00D85A77">
            <w:pPr>
              <w:shd w:val="clear" w:color="auto" w:fill="D9D9D9" w:themeFill="background1" w:themeFillShade="D9"/>
              <w:spacing w:before="120"/>
              <w:rPr>
                <w:rFonts w:cs="Arial"/>
                <w:b/>
              </w:rPr>
            </w:pPr>
            <w:r w:rsidRPr="00D03AB8">
              <w:rPr>
                <w:rFonts w:cs="Arial"/>
                <w:b/>
              </w:rPr>
              <w:t xml:space="preserve">Montant total maximum de l’accord-cadre </w:t>
            </w:r>
            <w:r w:rsidR="0012794E" w:rsidRPr="00D03AB8">
              <w:rPr>
                <w:rFonts w:cs="Arial"/>
                <w:b/>
              </w:rPr>
              <w:t>sur la durée totale de l’accord-cadre (toutes reconductions comprises)</w:t>
            </w:r>
          </w:p>
          <w:p w14:paraId="53040025" w14:textId="1B5D262A" w:rsidR="00D03AB8" w:rsidRPr="00D03AB8" w:rsidRDefault="00D03AB8" w:rsidP="00D85A77">
            <w:pPr>
              <w:shd w:val="clear" w:color="auto" w:fill="D9D9D9" w:themeFill="background1" w:themeFillShade="D9"/>
              <w:spacing w:before="120"/>
              <w:rPr>
                <w:rFonts w:cs="Arial"/>
              </w:rPr>
            </w:pPr>
            <w:r w:rsidRPr="00D03AB8">
              <w:rPr>
                <w:rFonts w:cs="Arial"/>
              </w:rPr>
              <w:t xml:space="preserve">Le montant total maximum de l’accord-cadre doit permettre de réaliser les postes forfaitaires </w:t>
            </w:r>
            <w:r>
              <w:rPr>
                <w:rFonts w:cs="Arial"/>
              </w:rPr>
              <w:t xml:space="preserve">(PF1 + PF2) </w:t>
            </w:r>
            <w:r w:rsidRPr="00D03AB8">
              <w:rPr>
                <w:rFonts w:cs="Arial"/>
              </w:rPr>
              <w:t>et le poste à bons de commande</w:t>
            </w:r>
            <w:r>
              <w:rPr>
                <w:rFonts w:cs="Arial"/>
              </w:rPr>
              <w:t xml:space="preserve"> (</w:t>
            </w:r>
            <w:r w:rsidR="006A2C48">
              <w:rPr>
                <w:rFonts w:cs="Arial"/>
              </w:rPr>
              <w:t>UO</w:t>
            </w:r>
            <w:r w:rsidR="00FE008C">
              <w:rPr>
                <w:rFonts w:cs="Arial"/>
              </w:rPr>
              <w:t>1</w:t>
            </w:r>
            <w:r w:rsidR="007E585A">
              <w:rPr>
                <w:rFonts w:cs="Arial"/>
              </w:rPr>
              <w:t xml:space="preserve"> </w:t>
            </w:r>
            <w:r w:rsidR="00843592">
              <w:rPr>
                <w:rFonts w:cs="Arial"/>
              </w:rPr>
              <w:t>+</w:t>
            </w:r>
            <w:r w:rsidR="007E585A">
              <w:rPr>
                <w:rFonts w:cs="Arial"/>
              </w:rPr>
              <w:t xml:space="preserve"> </w:t>
            </w:r>
            <w:r w:rsidR="006A2C48">
              <w:rPr>
                <w:rFonts w:cs="Arial"/>
              </w:rPr>
              <w:t>UO</w:t>
            </w:r>
            <w:r w:rsidR="00843592">
              <w:rPr>
                <w:rFonts w:cs="Arial"/>
              </w:rPr>
              <w:t>2</w:t>
            </w:r>
            <w:r>
              <w:rPr>
                <w:rFonts w:cs="Arial"/>
              </w:rPr>
              <w:t>)</w:t>
            </w:r>
            <w:r w:rsidR="00FE008C">
              <w:rPr>
                <w:rFonts w:cs="Arial"/>
              </w:rPr>
              <w:t xml:space="preserve">, </w:t>
            </w:r>
            <w:r w:rsidR="00FE008C" w:rsidRPr="00312E1B">
              <w:rPr>
                <w:rFonts w:cs="Arial"/>
                <w:b/>
              </w:rPr>
              <w:t>toutes reconductions comprises</w:t>
            </w:r>
          </w:p>
        </w:tc>
        <w:tc>
          <w:tcPr>
            <w:tcW w:w="1984" w:type="dxa"/>
            <w:tcBorders>
              <w:top w:val="single" w:sz="2" w:space="0" w:color="auto"/>
              <w:left w:val="single" w:sz="2" w:space="0" w:color="auto"/>
              <w:bottom w:val="single" w:sz="2" w:space="0" w:color="auto"/>
              <w:right w:val="single" w:sz="2" w:space="0" w:color="auto"/>
            </w:tcBorders>
          </w:tcPr>
          <w:p w14:paraId="5B8669DA" w14:textId="70407A6B" w:rsidR="009D3DD3" w:rsidRPr="00D85A77" w:rsidRDefault="007E585A" w:rsidP="00D85A77">
            <w:pPr>
              <w:spacing w:before="600"/>
              <w:jc w:val="center"/>
              <w:rPr>
                <w:rFonts w:cs="Arial"/>
                <w:b/>
              </w:rPr>
            </w:pPr>
            <w:r>
              <w:rPr>
                <w:rFonts w:cs="Arial"/>
                <w:b/>
              </w:rPr>
              <w:t>300 000,00</w:t>
            </w:r>
          </w:p>
        </w:tc>
        <w:tc>
          <w:tcPr>
            <w:tcW w:w="1843" w:type="dxa"/>
            <w:tcBorders>
              <w:top w:val="single" w:sz="2" w:space="0" w:color="auto"/>
              <w:left w:val="single" w:sz="2" w:space="0" w:color="auto"/>
              <w:bottom w:val="single" w:sz="2" w:space="0" w:color="auto"/>
              <w:right w:val="single" w:sz="12" w:space="0" w:color="auto"/>
            </w:tcBorders>
          </w:tcPr>
          <w:p w14:paraId="4E97A4F0" w14:textId="02EC4463" w:rsidR="009D3DD3" w:rsidRPr="00D85A77" w:rsidRDefault="007E585A" w:rsidP="00D85A77">
            <w:pPr>
              <w:spacing w:before="600"/>
              <w:jc w:val="center"/>
              <w:rPr>
                <w:rFonts w:cs="Arial"/>
                <w:b/>
              </w:rPr>
            </w:pPr>
            <w:r>
              <w:rPr>
                <w:rFonts w:cs="Arial"/>
                <w:b/>
              </w:rPr>
              <w:t>360 000,00</w:t>
            </w:r>
          </w:p>
        </w:tc>
      </w:tr>
      <w:tr w:rsidR="009D3DD3" w:rsidRPr="009D3DD3" w14:paraId="209735B3" w14:textId="77777777" w:rsidTr="009B0709">
        <w:trPr>
          <w:trHeight w:val="475"/>
        </w:trPr>
        <w:tc>
          <w:tcPr>
            <w:tcW w:w="6238" w:type="dxa"/>
            <w:tcBorders>
              <w:top w:val="single" w:sz="2" w:space="0" w:color="auto"/>
              <w:left w:val="single" w:sz="12" w:space="0" w:color="auto"/>
              <w:bottom w:val="single" w:sz="2" w:space="0" w:color="auto"/>
              <w:right w:val="single" w:sz="2" w:space="0" w:color="auto"/>
            </w:tcBorders>
          </w:tcPr>
          <w:p w14:paraId="42749260" w14:textId="77777777" w:rsidR="009D3DD3" w:rsidRPr="009D3DD3" w:rsidRDefault="009D3DD3" w:rsidP="009D3DD3">
            <w:pPr>
              <w:spacing w:before="120"/>
              <w:jc w:val="right"/>
              <w:rPr>
                <w:rFonts w:cs="Arial"/>
              </w:rPr>
            </w:pPr>
            <w:r w:rsidRPr="009D3DD3">
              <w:rPr>
                <w:rFonts w:cs="Arial"/>
                <w:i/>
              </w:rPr>
              <w:t>dont part du mandataire</w:t>
            </w:r>
          </w:p>
        </w:tc>
        <w:tc>
          <w:tcPr>
            <w:tcW w:w="1984" w:type="dxa"/>
            <w:tcBorders>
              <w:top w:val="single" w:sz="2" w:space="0" w:color="auto"/>
              <w:left w:val="single" w:sz="2" w:space="0" w:color="auto"/>
              <w:bottom w:val="single" w:sz="2" w:space="0" w:color="auto"/>
              <w:right w:val="single" w:sz="2" w:space="0" w:color="auto"/>
            </w:tcBorders>
          </w:tcPr>
          <w:p w14:paraId="0D2047FE" w14:textId="77777777" w:rsidR="009D3DD3" w:rsidRPr="009D3DD3" w:rsidRDefault="009D3DD3" w:rsidP="009D3DD3">
            <w:pPr>
              <w:spacing w:before="120"/>
              <w:jc w:val="center"/>
              <w:rPr>
                <w:rFonts w:cs="Arial"/>
              </w:rPr>
            </w:pPr>
            <w:r w:rsidRPr="009D3DD3">
              <w:rPr>
                <w:rFonts w:cs="Arial"/>
              </w:rPr>
              <w:t>………</w:t>
            </w:r>
          </w:p>
        </w:tc>
        <w:tc>
          <w:tcPr>
            <w:tcW w:w="1843" w:type="dxa"/>
            <w:tcBorders>
              <w:top w:val="single" w:sz="2" w:space="0" w:color="auto"/>
              <w:left w:val="single" w:sz="2" w:space="0" w:color="auto"/>
              <w:bottom w:val="single" w:sz="2" w:space="0" w:color="auto"/>
              <w:right w:val="single" w:sz="12" w:space="0" w:color="auto"/>
            </w:tcBorders>
          </w:tcPr>
          <w:p w14:paraId="2A7689F5" w14:textId="77777777" w:rsidR="009D3DD3" w:rsidRPr="009D3DD3" w:rsidRDefault="009D3DD3" w:rsidP="009D3DD3">
            <w:pPr>
              <w:spacing w:before="120"/>
              <w:jc w:val="center"/>
              <w:rPr>
                <w:rFonts w:cs="Arial"/>
              </w:rPr>
            </w:pPr>
            <w:r w:rsidRPr="009D3DD3">
              <w:rPr>
                <w:rFonts w:cs="Arial"/>
              </w:rPr>
              <w:t>………</w:t>
            </w:r>
          </w:p>
        </w:tc>
      </w:tr>
      <w:tr w:rsidR="009D3DD3" w:rsidRPr="009D3DD3" w14:paraId="6AE262BD" w14:textId="77777777" w:rsidTr="009B0709">
        <w:trPr>
          <w:trHeight w:val="409"/>
        </w:trPr>
        <w:tc>
          <w:tcPr>
            <w:tcW w:w="6238" w:type="dxa"/>
            <w:tcBorders>
              <w:top w:val="single" w:sz="2" w:space="0" w:color="auto"/>
              <w:left w:val="single" w:sz="12" w:space="0" w:color="auto"/>
              <w:bottom w:val="single" w:sz="12" w:space="0" w:color="auto"/>
              <w:right w:val="single" w:sz="2" w:space="0" w:color="auto"/>
            </w:tcBorders>
          </w:tcPr>
          <w:p w14:paraId="63F3E89F" w14:textId="16175A58" w:rsidR="009D3DD3" w:rsidRPr="009D3DD3" w:rsidRDefault="009D3DD3" w:rsidP="009D3DD3">
            <w:pPr>
              <w:spacing w:before="120"/>
              <w:jc w:val="right"/>
              <w:rPr>
                <w:rFonts w:cs="Arial"/>
              </w:rPr>
            </w:pPr>
            <w:r w:rsidRPr="009D3DD3">
              <w:rPr>
                <w:rFonts w:cs="Arial"/>
                <w:i/>
              </w:rPr>
              <w:t xml:space="preserve">dont part </w:t>
            </w:r>
            <w:r w:rsidR="00320AAE">
              <w:rPr>
                <w:i/>
              </w:rPr>
              <w:t xml:space="preserve">de </w:t>
            </w:r>
            <w:r w:rsidR="00320AAE" w:rsidRPr="002F2CF9">
              <w:rPr>
                <w:i/>
              </w:rPr>
              <w:t>« x »</w:t>
            </w:r>
            <w:r w:rsidR="004123CF">
              <w:rPr>
                <w:i/>
              </w:rPr>
              <w:t xml:space="preserve"> </w:t>
            </w:r>
            <w:r w:rsidR="00320AAE">
              <w:rPr>
                <w:i/>
              </w:rPr>
              <w:t>(membre du groupement</w:t>
            </w:r>
            <w:r w:rsidR="00320AAE" w:rsidRPr="002F2CF9">
              <w:rPr>
                <w:i/>
              </w:rPr>
              <w:t xml:space="preserve"> </w:t>
            </w:r>
            <w:r w:rsidR="00320AAE">
              <w:rPr>
                <w:i/>
              </w:rPr>
              <w:t>)</w:t>
            </w:r>
          </w:p>
        </w:tc>
        <w:tc>
          <w:tcPr>
            <w:tcW w:w="1984" w:type="dxa"/>
            <w:tcBorders>
              <w:top w:val="single" w:sz="2" w:space="0" w:color="auto"/>
              <w:left w:val="single" w:sz="2" w:space="0" w:color="auto"/>
              <w:bottom w:val="single" w:sz="12" w:space="0" w:color="auto"/>
              <w:right w:val="single" w:sz="2" w:space="0" w:color="auto"/>
            </w:tcBorders>
          </w:tcPr>
          <w:p w14:paraId="1F2FF860" w14:textId="77777777" w:rsidR="009D3DD3" w:rsidRPr="009D3DD3" w:rsidRDefault="009D3DD3" w:rsidP="009D3DD3">
            <w:pPr>
              <w:spacing w:before="120"/>
              <w:jc w:val="center"/>
              <w:rPr>
                <w:rFonts w:cs="Arial"/>
              </w:rPr>
            </w:pPr>
            <w:r w:rsidRPr="009D3DD3">
              <w:rPr>
                <w:rFonts w:cs="Arial"/>
              </w:rPr>
              <w:t>………</w:t>
            </w:r>
          </w:p>
        </w:tc>
        <w:tc>
          <w:tcPr>
            <w:tcW w:w="1843" w:type="dxa"/>
            <w:tcBorders>
              <w:top w:val="single" w:sz="2" w:space="0" w:color="auto"/>
              <w:left w:val="single" w:sz="2" w:space="0" w:color="auto"/>
              <w:bottom w:val="single" w:sz="12" w:space="0" w:color="auto"/>
              <w:right w:val="single" w:sz="12" w:space="0" w:color="auto"/>
            </w:tcBorders>
          </w:tcPr>
          <w:p w14:paraId="0E5841D6" w14:textId="77777777" w:rsidR="009D3DD3" w:rsidRPr="009D3DD3" w:rsidRDefault="009D3DD3" w:rsidP="009D3DD3">
            <w:pPr>
              <w:spacing w:before="120"/>
              <w:jc w:val="center"/>
              <w:rPr>
                <w:rFonts w:cs="Arial"/>
              </w:rPr>
            </w:pPr>
            <w:r w:rsidRPr="009D3DD3">
              <w:rPr>
                <w:rFonts w:cs="Arial"/>
              </w:rPr>
              <w:t>………</w:t>
            </w:r>
          </w:p>
        </w:tc>
      </w:tr>
    </w:tbl>
    <w:p w14:paraId="093A277A" w14:textId="38AB08BF" w:rsidR="009D3DD3" w:rsidRPr="009D3DD3" w:rsidRDefault="009D3DD3" w:rsidP="009D3DD3">
      <w:pPr>
        <w:rPr>
          <w:rFonts w:cs="Arial"/>
        </w:rPr>
      </w:pPr>
    </w:p>
    <w:p w14:paraId="52EBEB42" w14:textId="625BDD8A" w:rsidR="002F2CF9" w:rsidRDefault="009D3DD3" w:rsidP="00C7548A">
      <w:r w:rsidRPr="009D29AE">
        <w:rPr>
          <w:rFonts w:cs="Arial"/>
        </w:rPr>
        <w:t>La personne publique est engagée sur le montant total minimum de l’accord-cadre. En aucun cas</w:t>
      </w:r>
      <w:r w:rsidR="00901BAD">
        <w:rPr>
          <w:rFonts w:cs="Arial"/>
        </w:rPr>
        <w:t>,</w:t>
      </w:r>
      <w:r w:rsidRPr="009D29AE">
        <w:rPr>
          <w:rFonts w:cs="Arial"/>
        </w:rPr>
        <w:t xml:space="preserve"> elle n’est obligée d’atteindre le maximum.</w:t>
      </w:r>
    </w:p>
    <w:p w14:paraId="6323538D" w14:textId="72D0B7EC" w:rsidR="00E85775" w:rsidRPr="00CD502D" w:rsidRDefault="00E85775" w:rsidP="00CD502D">
      <w:pPr>
        <w:pStyle w:val="Titre1"/>
        <w:keepLines/>
        <w:numPr>
          <w:ilvl w:val="0"/>
          <w:numId w:val="0"/>
        </w:numPr>
        <w:spacing w:before="240" w:after="0"/>
        <w:rPr>
          <w:rFonts w:ascii="Arial" w:hAnsi="Arial" w:cs="Arial"/>
          <w:sz w:val="22"/>
          <w:szCs w:val="22"/>
        </w:rPr>
      </w:pPr>
      <w:bookmarkStart w:id="47" w:name="_Toc507666596"/>
      <w:bookmarkStart w:id="48" w:name="_Toc50109527"/>
      <w:bookmarkStart w:id="49" w:name="_Toc50113975"/>
      <w:bookmarkStart w:id="50" w:name="_Toc207979734"/>
      <w:r w:rsidRPr="00CD502D">
        <w:rPr>
          <w:rFonts w:ascii="Arial" w:hAnsi="Arial" w:cs="Arial"/>
          <w:sz w:val="22"/>
          <w:szCs w:val="22"/>
        </w:rPr>
        <w:t>ARTICLE 5 – CORRESPONDANTS DES PARTIES.</w:t>
      </w:r>
      <w:bookmarkEnd w:id="47"/>
      <w:bookmarkEnd w:id="48"/>
      <w:bookmarkEnd w:id="49"/>
      <w:bookmarkEnd w:id="50"/>
    </w:p>
    <w:p w14:paraId="5D493372" w14:textId="77777777" w:rsidR="00E85775" w:rsidRPr="00E85775" w:rsidRDefault="00E85775" w:rsidP="00C7548A"/>
    <w:p w14:paraId="5C47737B" w14:textId="77777777" w:rsidR="00E85775" w:rsidRPr="00E85775" w:rsidRDefault="00E85775" w:rsidP="000F7994">
      <w:pPr>
        <w:pStyle w:val="Titre2"/>
      </w:pPr>
      <w:bookmarkStart w:id="51" w:name="_Toc507666597"/>
      <w:bookmarkStart w:id="52" w:name="_Toc50109528"/>
      <w:bookmarkStart w:id="53" w:name="_Toc50113976"/>
      <w:bookmarkStart w:id="54" w:name="_Toc207979735"/>
      <w:r w:rsidRPr="00E85775">
        <w:t xml:space="preserve">5.1. </w:t>
      </w:r>
      <w:bookmarkEnd w:id="51"/>
      <w:bookmarkEnd w:id="52"/>
      <w:bookmarkEnd w:id="53"/>
      <w:r w:rsidR="00131F42" w:rsidRPr="00E85775">
        <w:t xml:space="preserve">Représentation </w:t>
      </w:r>
      <w:r w:rsidR="00131F42">
        <w:rPr>
          <w:lang w:val="fr-FR"/>
        </w:rPr>
        <w:t>de la personne publique</w:t>
      </w:r>
      <w:r w:rsidR="00131F42" w:rsidRPr="00E85775">
        <w:t>.</w:t>
      </w:r>
      <w:bookmarkEnd w:id="54"/>
    </w:p>
    <w:p w14:paraId="3C261212" w14:textId="77777777" w:rsidR="00E85775" w:rsidRPr="00E85775" w:rsidRDefault="00E85775" w:rsidP="00C7548A"/>
    <w:p w14:paraId="1B9014F5" w14:textId="77777777" w:rsidR="00131F42" w:rsidRDefault="00131F42" w:rsidP="00131F42">
      <w:pPr>
        <w:pStyle w:val="Titre6"/>
      </w:pPr>
      <w:bookmarkStart w:id="55" w:name="_Toc94020928"/>
      <w:r>
        <w:t>5.1.1 L’acheteur</w:t>
      </w:r>
      <w:bookmarkEnd w:id="55"/>
    </w:p>
    <w:p w14:paraId="0180BB5F" w14:textId="77777777" w:rsidR="00131F42" w:rsidRDefault="00131F42" w:rsidP="00C7548A"/>
    <w:p w14:paraId="42A0E01D" w14:textId="04A644BB" w:rsidR="00E85775" w:rsidRDefault="00E85775" w:rsidP="00061839">
      <w:pPr>
        <w:spacing w:after="120"/>
        <w:rPr>
          <w:color w:val="000000" w:themeColor="text1"/>
        </w:rPr>
      </w:pPr>
      <w:r w:rsidRPr="00E85775">
        <w:t>En application des di</w:t>
      </w:r>
      <w:r w:rsidR="00B5069E">
        <w:t xml:space="preserve">spositions de l'article 3.3 du CCAG/PI, </w:t>
      </w:r>
      <w:r w:rsidR="00A87FAB">
        <w:t>l’acheteur</w:t>
      </w:r>
      <w:r w:rsidRPr="00E85775">
        <w:t xml:space="preserve"> est habilité à émettre toutes les décisions au titre du présent </w:t>
      </w:r>
      <w:r w:rsidR="0037147F">
        <w:t>accord-cadre</w:t>
      </w:r>
      <w:r w:rsidRPr="00E85775">
        <w:t xml:space="preserve">, et il est en particulier le seul pour les prolongations de délais émises en application de l'article 13.3 </w:t>
      </w:r>
      <w:r w:rsidR="00B5069E" w:rsidRPr="00B5069E">
        <w:t>du</w:t>
      </w:r>
      <w:r w:rsidRPr="00B5069E">
        <w:t xml:space="preserve"> CCAG/PI, </w:t>
      </w:r>
      <w:r w:rsidRPr="00E85775">
        <w:t xml:space="preserve">les sursis de livraison, les exonérations de pénalités et toutes les décisions portant grief (ajournement, </w:t>
      </w:r>
      <w:r w:rsidR="00131F42" w:rsidRPr="003C11D8">
        <w:rPr>
          <w:color w:val="000000" w:themeColor="text1"/>
        </w:rPr>
        <w:t>admission</w:t>
      </w:r>
      <w:r w:rsidRPr="00E85775">
        <w:t xml:space="preserve"> avec réfaction, rejet, résiliation</w:t>
      </w:r>
      <w:r w:rsidR="00131F42">
        <w:t xml:space="preserve">, </w:t>
      </w:r>
      <w:r w:rsidR="00131F42" w:rsidRPr="003C11D8">
        <w:rPr>
          <w:color w:val="000000" w:themeColor="text1"/>
        </w:rPr>
        <w:t>arrêt de l’exécution des prestations en application de l’article 22 du CCAG/PI, suspension de tout ou partie des prestations en application de l’article 24 du CCAG/PI). Les coordonnées de l’acheteur sont :</w:t>
      </w:r>
    </w:p>
    <w:p w14:paraId="30C27FA5" w14:textId="33CFF5B3" w:rsidR="005E632F" w:rsidRPr="00BC1D25" w:rsidRDefault="005E632F" w:rsidP="005E632F">
      <w:pPr>
        <w:jc w:val="center"/>
        <w:rPr>
          <w:b/>
        </w:rPr>
      </w:pPr>
      <w:r w:rsidRPr="00BC1D25">
        <w:rPr>
          <w:b/>
        </w:rPr>
        <w:t xml:space="preserve">Secrétariat </w:t>
      </w:r>
      <w:r w:rsidR="006A2C48">
        <w:rPr>
          <w:b/>
        </w:rPr>
        <w:t>G</w:t>
      </w:r>
      <w:r w:rsidRPr="00BC1D25">
        <w:rPr>
          <w:b/>
        </w:rPr>
        <w:t>énéral de l’</w:t>
      </w:r>
      <w:r w:rsidR="006A2C48">
        <w:rPr>
          <w:b/>
        </w:rPr>
        <w:t>A</w:t>
      </w:r>
      <w:r w:rsidRPr="00BC1D25">
        <w:rPr>
          <w:b/>
        </w:rPr>
        <w:t>dministration</w:t>
      </w:r>
    </w:p>
    <w:p w14:paraId="30A7AA58" w14:textId="5AB92B0D" w:rsidR="005E632F" w:rsidRPr="00BC1D25" w:rsidRDefault="005E632F" w:rsidP="005E632F">
      <w:pPr>
        <w:jc w:val="center"/>
        <w:rPr>
          <w:b/>
        </w:rPr>
      </w:pPr>
      <w:r w:rsidRPr="00BC1D25">
        <w:rPr>
          <w:b/>
        </w:rPr>
        <w:t xml:space="preserve">Sous-direction </w:t>
      </w:r>
      <w:r>
        <w:rPr>
          <w:b/>
        </w:rPr>
        <w:t>de la préfiguration de l’agence ministérielle de gestion</w:t>
      </w:r>
      <w:r w:rsidR="00516EC0">
        <w:rPr>
          <w:b/>
        </w:rPr>
        <w:t xml:space="preserve"> (SDPAMG)</w:t>
      </w:r>
      <w:r>
        <w:rPr>
          <w:b/>
        </w:rPr>
        <w:t xml:space="preserve"> – PC04</w:t>
      </w:r>
    </w:p>
    <w:p w14:paraId="2B3EBDCC" w14:textId="5C43410B" w:rsidR="005E632F" w:rsidRPr="00BC1D25" w:rsidRDefault="005E632F" w:rsidP="005E632F">
      <w:pPr>
        <w:jc w:val="center"/>
        <w:rPr>
          <w:b/>
        </w:rPr>
      </w:pPr>
      <w:r w:rsidRPr="00BC1D25">
        <w:rPr>
          <w:b/>
        </w:rPr>
        <w:t>60</w:t>
      </w:r>
      <w:r w:rsidR="00945EFC">
        <w:rPr>
          <w:b/>
        </w:rPr>
        <w:t>,</w:t>
      </w:r>
      <w:r w:rsidRPr="00BC1D25">
        <w:rPr>
          <w:b/>
        </w:rPr>
        <w:t xml:space="preserve"> boulevard du général Martial </w:t>
      </w:r>
      <w:proofErr w:type="spellStart"/>
      <w:r w:rsidRPr="00BC1D25">
        <w:rPr>
          <w:b/>
        </w:rPr>
        <w:t>Valin</w:t>
      </w:r>
      <w:proofErr w:type="spellEnd"/>
    </w:p>
    <w:p w14:paraId="21040E0F" w14:textId="77777777" w:rsidR="005E632F" w:rsidRPr="00BC1D25" w:rsidRDefault="005E632F" w:rsidP="005E632F">
      <w:pPr>
        <w:jc w:val="center"/>
        <w:rPr>
          <w:b/>
        </w:rPr>
      </w:pPr>
      <w:r w:rsidRPr="00BC1D25">
        <w:rPr>
          <w:b/>
        </w:rPr>
        <w:t>CS 21623</w:t>
      </w:r>
    </w:p>
    <w:p w14:paraId="339C0BD9" w14:textId="77777777" w:rsidR="005E632F" w:rsidRPr="00BC1D25" w:rsidRDefault="005E632F" w:rsidP="005E632F">
      <w:pPr>
        <w:jc w:val="center"/>
        <w:rPr>
          <w:b/>
        </w:rPr>
      </w:pPr>
      <w:r w:rsidRPr="00BC1D25">
        <w:rPr>
          <w:b/>
        </w:rPr>
        <w:t>75509 PARIS CEDEX 15</w:t>
      </w:r>
    </w:p>
    <w:p w14:paraId="047F58BB" w14:textId="77777777" w:rsidR="00E85775" w:rsidRDefault="00E85775" w:rsidP="00C7548A"/>
    <w:p w14:paraId="247BA9B2" w14:textId="77777777" w:rsidR="005E632F" w:rsidRPr="00E85775" w:rsidRDefault="005E632F">
      <w:pPr>
        <w:pStyle w:val="Titre6"/>
      </w:pPr>
      <w:bookmarkStart w:id="56" w:name="_Toc94020929"/>
      <w:r>
        <w:t xml:space="preserve">5.1.2. Le service en charge </w:t>
      </w:r>
      <w:r w:rsidR="004A7162" w:rsidRPr="005E632F">
        <w:t xml:space="preserve">du contrôle </w:t>
      </w:r>
      <w:r w:rsidR="004A7162">
        <w:rPr>
          <w:lang w:val="fr-FR"/>
        </w:rPr>
        <w:t xml:space="preserve">et </w:t>
      </w:r>
      <w:r w:rsidRPr="005E632F">
        <w:t xml:space="preserve">du suivi </w:t>
      </w:r>
      <w:r>
        <w:t xml:space="preserve">de l’exécution </w:t>
      </w:r>
      <w:r w:rsidR="004735BC">
        <w:t>de l’accord-cadre</w:t>
      </w:r>
      <w:bookmarkEnd w:id="56"/>
    </w:p>
    <w:p w14:paraId="3729C823" w14:textId="77777777" w:rsidR="00B5069E" w:rsidRDefault="00B5069E" w:rsidP="00E73B45">
      <w:pPr>
        <w:keepNext/>
      </w:pPr>
    </w:p>
    <w:p w14:paraId="68C793EB" w14:textId="14FE57F6" w:rsidR="0087480B" w:rsidRDefault="0087480B" w:rsidP="0087480B">
      <w:pPr>
        <w:rPr>
          <w:rFonts w:ascii="Calibri" w:hAnsi="Calibri"/>
        </w:rPr>
      </w:pPr>
      <w:r w:rsidRPr="0087480B">
        <w:rPr>
          <w:color w:val="000000" w:themeColor="text1"/>
        </w:rPr>
        <w:t xml:space="preserve">La personne habilitée ou le service habilité à suivre et à contrôler l’exécution des prestations est le chef de département </w:t>
      </w:r>
      <w:r w:rsidR="00D85A77">
        <w:rPr>
          <w:color w:val="000000" w:themeColor="text1"/>
        </w:rPr>
        <w:t xml:space="preserve">Afrique de la </w:t>
      </w:r>
      <w:r w:rsidR="00D85A77">
        <w:rPr>
          <w:rFonts w:eastAsia="Arial Unicode MS" w:cs="Arial"/>
        </w:rPr>
        <w:t>D</w:t>
      </w:r>
      <w:r w:rsidR="00D85A77" w:rsidRPr="002B649C">
        <w:rPr>
          <w:rFonts w:cs="Arial"/>
        </w:rPr>
        <w:t xml:space="preserve">irection </w:t>
      </w:r>
      <w:r w:rsidR="00D85A77">
        <w:rPr>
          <w:rFonts w:cs="Arial"/>
        </w:rPr>
        <w:t>G</w:t>
      </w:r>
      <w:r w:rsidR="00D85A77" w:rsidRPr="002B649C">
        <w:rPr>
          <w:rFonts w:cs="Arial"/>
        </w:rPr>
        <w:t xml:space="preserve">énérale des </w:t>
      </w:r>
      <w:r w:rsidR="00D85A77">
        <w:rPr>
          <w:rFonts w:cs="Arial"/>
        </w:rPr>
        <w:t>R</w:t>
      </w:r>
      <w:r w:rsidR="00D85A77" w:rsidRPr="002B649C">
        <w:rPr>
          <w:rFonts w:cs="Arial"/>
        </w:rPr>
        <w:t xml:space="preserve">elations </w:t>
      </w:r>
      <w:r w:rsidR="00D85A77">
        <w:rPr>
          <w:rFonts w:cs="Arial"/>
        </w:rPr>
        <w:t>I</w:t>
      </w:r>
      <w:r w:rsidR="00D85A77" w:rsidRPr="002B649C">
        <w:rPr>
          <w:rFonts w:cs="Arial"/>
        </w:rPr>
        <w:t xml:space="preserve">nternationales et de la </w:t>
      </w:r>
      <w:r w:rsidR="00D85A77">
        <w:rPr>
          <w:rFonts w:cs="Arial"/>
        </w:rPr>
        <w:t>S</w:t>
      </w:r>
      <w:r w:rsidR="00D85A77" w:rsidRPr="002B649C">
        <w:rPr>
          <w:rFonts w:cs="Arial"/>
        </w:rPr>
        <w:t xml:space="preserve">tratégie (DGRIS) </w:t>
      </w:r>
      <w:r w:rsidRPr="0087480B">
        <w:rPr>
          <w:color w:val="000000" w:themeColor="text1"/>
        </w:rPr>
        <w:t>ou son représentant</w:t>
      </w:r>
      <w:r w:rsidRPr="0087480B">
        <w:t>, dont les coordonnées sont les suivantes :</w:t>
      </w:r>
      <w:r>
        <w:t xml:space="preserve"> </w:t>
      </w:r>
    </w:p>
    <w:p w14:paraId="1878254E" w14:textId="77777777" w:rsidR="00843592" w:rsidRDefault="00843592" w:rsidP="00843592">
      <w:pPr>
        <w:pStyle w:val="Default"/>
        <w:jc w:val="center"/>
        <w:rPr>
          <w:b/>
          <w:bCs/>
          <w:sz w:val="20"/>
          <w:szCs w:val="20"/>
        </w:rPr>
      </w:pPr>
    </w:p>
    <w:p w14:paraId="4626E8ED" w14:textId="77445293" w:rsidR="00843592" w:rsidRPr="00303DBC" w:rsidRDefault="00843592" w:rsidP="00843592">
      <w:pPr>
        <w:pStyle w:val="Default"/>
        <w:jc w:val="center"/>
        <w:rPr>
          <w:b/>
          <w:sz w:val="20"/>
          <w:szCs w:val="20"/>
        </w:rPr>
      </w:pPr>
      <w:r w:rsidRPr="00303DBC">
        <w:rPr>
          <w:b/>
          <w:bCs/>
          <w:sz w:val="20"/>
          <w:szCs w:val="20"/>
        </w:rPr>
        <w:t xml:space="preserve">Direction </w:t>
      </w:r>
      <w:r w:rsidR="006A2C48">
        <w:rPr>
          <w:b/>
          <w:bCs/>
          <w:sz w:val="20"/>
          <w:szCs w:val="20"/>
        </w:rPr>
        <w:t>G</w:t>
      </w:r>
      <w:r w:rsidRPr="00303DBC">
        <w:rPr>
          <w:b/>
          <w:bCs/>
          <w:sz w:val="20"/>
          <w:szCs w:val="20"/>
        </w:rPr>
        <w:t xml:space="preserve">énérale des </w:t>
      </w:r>
      <w:r w:rsidR="006A2C48">
        <w:rPr>
          <w:b/>
          <w:bCs/>
          <w:sz w:val="20"/>
          <w:szCs w:val="20"/>
        </w:rPr>
        <w:t>R</w:t>
      </w:r>
      <w:r w:rsidRPr="00303DBC">
        <w:rPr>
          <w:b/>
          <w:bCs/>
          <w:sz w:val="20"/>
          <w:szCs w:val="20"/>
        </w:rPr>
        <w:t xml:space="preserve">elations </w:t>
      </w:r>
      <w:r w:rsidR="006A2C48">
        <w:rPr>
          <w:b/>
          <w:bCs/>
          <w:sz w:val="20"/>
          <w:szCs w:val="20"/>
        </w:rPr>
        <w:t>I</w:t>
      </w:r>
      <w:r w:rsidRPr="00303DBC">
        <w:rPr>
          <w:b/>
          <w:bCs/>
          <w:sz w:val="20"/>
          <w:szCs w:val="20"/>
        </w:rPr>
        <w:t xml:space="preserve">nternationales et de la </w:t>
      </w:r>
      <w:r w:rsidR="006A2C48">
        <w:rPr>
          <w:b/>
          <w:bCs/>
          <w:sz w:val="20"/>
          <w:szCs w:val="20"/>
        </w:rPr>
        <w:t>S</w:t>
      </w:r>
      <w:r w:rsidRPr="00303DBC">
        <w:rPr>
          <w:b/>
          <w:bCs/>
          <w:sz w:val="20"/>
          <w:szCs w:val="20"/>
        </w:rPr>
        <w:t>tratégie (DGRIS)</w:t>
      </w:r>
    </w:p>
    <w:p w14:paraId="0E0BC962" w14:textId="073A701C" w:rsidR="00843592" w:rsidRPr="00303DBC" w:rsidRDefault="009748BE" w:rsidP="009748BE">
      <w:pPr>
        <w:pStyle w:val="Default"/>
        <w:jc w:val="center"/>
        <w:rPr>
          <w:b/>
          <w:bCs/>
          <w:sz w:val="20"/>
          <w:szCs w:val="20"/>
        </w:rPr>
      </w:pPr>
      <w:r w:rsidRPr="00303DBC">
        <w:rPr>
          <w:b/>
          <w:bCs/>
          <w:sz w:val="20"/>
          <w:szCs w:val="20"/>
        </w:rPr>
        <w:t xml:space="preserve">Service des </w:t>
      </w:r>
      <w:r w:rsidR="006A2C48">
        <w:rPr>
          <w:b/>
          <w:bCs/>
          <w:sz w:val="20"/>
          <w:szCs w:val="20"/>
        </w:rPr>
        <w:t>A</w:t>
      </w:r>
      <w:r w:rsidRPr="00303DBC">
        <w:rPr>
          <w:b/>
          <w:bCs/>
          <w:sz w:val="20"/>
          <w:szCs w:val="20"/>
        </w:rPr>
        <w:t xml:space="preserve">ffaires de </w:t>
      </w:r>
      <w:r w:rsidR="006A2C48">
        <w:rPr>
          <w:b/>
          <w:bCs/>
          <w:sz w:val="20"/>
          <w:szCs w:val="20"/>
        </w:rPr>
        <w:t>S</w:t>
      </w:r>
      <w:r w:rsidRPr="00303DBC">
        <w:rPr>
          <w:b/>
          <w:bCs/>
          <w:sz w:val="20"/>
          <w:szCs w:val="20"/>
        </w:rPr>
        <w:t xml:space="preserve">écurité </w:t>
      </w:r>
      <w:r w:rsidR="006A2C48">
        <w:rPr>
          <w:b/>
          <w:bCs/>
          <w:sz w:val="20"/>
          <w:szCs w:val="20"/>
        </w:rPr>
        <w:t>I</w:t>
      </w:r>
      <w:r w:rsidRPr="00303DBC">
        <w:rPr>
          <w:b/>
          <w:bCs/>
          <w:sz w:val="20"/>
          <w:szCs w:val="20"/>
        </w:rPr>
        <w:t>nternationales (SASI)</w:t>
      </w:r>
    </w:p>
    <w:p w14:paraId="3C9ABD6A" w14:textId="7A81F83D" w:rsidR="00A03877" w:rsidRPr="00303DBC" w:rsidRDefault="00843592" w:rsidP="00843592">
      <w:pPr>
        <w:pStyle w:val="Default"/>
        <w:jc w:val="center"/>
        <w:rPr>
          <w:b/>
          <w:bCs/>
          <w:sz w:val="20"/>
          <w:szCs w:val="20"/>
        </w:rPr>
      </w:pPr>
      <w:r w:rsidRPr="00303DBC">
        <w:rPr>
          <w:b/>
          <w:bCs/>
          <w:sz w:val="20"/>
          <w:szCs w:val="20"/>
        </w:rPr>
        <w:t>Département Afrique</w:t>
      </w:r>
      <w:r w:rsidR="009748BE" w:rsidRPr="00303DBC">
        <w:rPr>
          <w:b/>
          <w:bCs/>
          <w:sz w:val="20"/>
          <w:szCs w:val="20"/>
        </w:rPr>
        <w:t xml:space="preserve"> (DAF</w:t>
      </w:r>
      <w:r w:rsidR="00303DBC" w:rsidRPr="00303DBC">
        <w:rPr>
          <w:b/>
          <w:bCs/>
          <w:sz w:val="20"/>
          <w:szCs w:val="20"/>
        </w:rPr>
        <w:t>R</w:t>
      </w:r>
      <w:r w:rsidR="009748BE" w:rsidRPr="00303DBC">
        <w:rPr>
          <w:b/>
          <w:bCs/>
          <w:sz w:val="20"/>
          <w:szCs w:val="20"/>
        </w:rPr>
        <w:t>)</w:t>
      </w:r>
    </w:p>
    <w:p w14:paraId="176163DA" w14:textId="77777777" w:rsidR="00A03877" w:rsidRPr="00303DBC" w:rsidRDefault="00A03877" w:rsidP="00A03877">
      <w:pPr>
        <w:jc w:val="center"/>
        <w:rPr>
          <w:b/>
        </w:rPr>
      </w:pPr>
      <w:r w:rsidRPr="00303DBC">
        <w:rPr>
          <w:b/>
        </w:rPr>
        <w:t xml:space="preserve">60, boulevard du général Martial </w:t>
      </w:r>
      <w:proofErr w:type="spellStart"/>
      <w:r w:rsidRPr="00303DBC">
        <w:rPr>
          <w:b/>
        </w:rPr>
        <w:t>Valin</w:t>
      </w:r>
      <w:proofErr w:type="spellEnd"/>
    </w:p>
    <w:p w14:paraId="0E40670F" w14:textId="77777777" w:rsidR="00A03877" w:rsidRPr="00BF4D90" w:rsidRDefault="00A03877" w:rsidP="00A03877">
      <w:pPr>
        <w:jc w:val="center"/>
        <w:rPr>
          <w:b/>
        </w:rPr>
      </w:pPr>
      <w:r w:rsidRPr="00303DBC">
        <w:rPr>
          <w:b/>
        </w:rPr>
        <w:t>75509 PARIS CEDEX 15</w:t>
      </w:r>
    </w:p>
    <w:p w14:paraId="57BE5B27" w14:textId="77777777" w:rsidR="005E632F" w:rsidRDefault="005E632F" w:rsidP="00B5069E"/>
    <w:p w14:paraId="3CBBC38E" w14:textId="77777777" w:rsidR="005E632F" w:rsidRPr="00E85775" w:rsidRDefault="005E632F" w:rsidP="005E632F">
      <w:pPr>
        <w:pStyle w:val="Titre6"/>
      </w:pPr>
      <w:r>
        <w:t xml:space="preserve">5.1.3. Le service en charge </w:t>
      </w:r>
      <w:r w:rsidR="004A7162">
        <w:rPr>
          <w:lang w:val="fr-FR"/>
        </w:rPr>
        <w:t>de la constatation du service fait</w:t>
      </w:r>
      <w:r>
        <w:t xml:space="preserve"> </w:t>
      </w:r>
      <w:r w:rsidR="004735BC">
        <w:t>de l’accord-cadre</w:t>
      </w:r>
    </w:p>
    <w:p w14:paraId="0A49F701" w14:textId="77777777" w:rsidR="005E632F" w:rsidRDefault="005E632F" w:rsidP="005E632F"/>
    <w:p w14:paraId="5295A1BA" w14:textId="0B336BF2" w:rsidR="00B5069E" w:rsidRDefault="00B5069E" w:rsidP="00061839">
      <w:pPr>
        <w:spacing w:after="120"/>
      </w:pPr>
      <w:r w:rsidRPr="0087480B">
        <w:rPr>
          <w:color w:val="000000" w:themeColor="text1"/>
        </w:rPr>
        <w:t>La personne habilitée à établir la constatation du service fait, es</w:t>
      </w:r>
      <w:r w:rsidR="0087480B" w:rsidRPr="0087480B">
        <w:rPr>
          <w:color w:val="000000" w:themeColor="text1"/>
        </w:rPr>
        <w:t>t le chargé de mission Etudes stratégiques</w:t>
      </w:r>
      <w:r w:rsidR="00D85A77" w:rsidRPr="00D85A77">
        <w:rPr>
          <w:rFonts w:eastAsia="Arial Unicode MS" w:cs="Arial"/>
        </w:rPr>
        <w:t xml:space="preserve"> </w:t>
      </w:r>
      <w:r w:rsidR="00D85A77">
        <w:rPr>
          <w:rFonts w:eastAsia="Arial Unicode MS" w:cs="Arial"/>
        </w:rPr>
        <w:t>de la D</w:t>
      </w:r>
      <w:r w:rsidR="00D85A77" w:rsidRPr="002B649C">
        <w:rPr>
          <w:rFonts w:cs="Arial"/>
        </w:rPr>
        <w:t xml:space="preserve">irection </w:t>
      </w:r>
      <w:r w:rsidR="00D85A77">
        <w:rPr>
          <w:rFonts w:cs="Arial"/>
        </w:rPr>
        <w:t>G</w:t>
      </w:r>
      <w:r w:rsidR="00D85A77" w:rsidRPr="002B649C">
        <w:rPr>
          <w:rFonts w:cs="Arial"/>
        </w:rPr>
        <w:t xml:space="preserve">énérale des </w:t>
      </w:r>
      <w:r w:rsidR="00D85A77">
        <w:rPr>
          <w:rFonts w:cs="Arial"/>
        </w:rPr>
        <w:t>R</w:t>
      </w:r>
      <w:r w:rsidR="00D85A77" w:rsidRPr="002B649C">
        <w:rPr>
          <w:rFonts w:cs="Arial"/>
        </w:rPr>
        <w:t xml:space="preserve">elations </w:t>
      </w:r>
      <w:r w:rsidR="00D85A77">
        <w:rPr>
          <w:rFonts w:cs="Arial"/>
        </w:rPr>
        <w:t>I</w:t>
      </w:r>
      <w:r w:rsidR="00D85A77" w:rsidRPr="002B649C">
        <w:rPr>
          <w:rFonts w:cs="Arial"/>
        </w:rPr>
        <w:t xml:space="preserve">nternationales et de la </w:t>
      </w:r>
      <w:r w:rsidR="00D85A77">
        <w:rPr>
          <w:rFonts w:cs="Arial"/>
        </w:rPr>
        <w:t>S</w:t>
      </w:r>
      <w:r w:rsidR="00D85A77" w:rsidRPr="002B649C">
        <w:rPr>
          <w:rFonts w:cs="Arial"/>
        </w:rPr>
        <w:t>tratégie (DGRIS)</w:t>
      </w:r>
      <w:r w:rsidR="0087480B" w:rsidRPr="0087480B">
        <w:rPr>
          <w:color w:val="000000" w:themeColor="text1"/>
        </w:rPr>
        <w:t>,</w:t>
      </w:r>
      <w:r w:rsidRPr="0087480B">
        <w:rPr>
          <w:color w:val="000000" w:themeColor="text1"/>
        </w:rPr>
        <w:t xml:space="preserve"> ou son représentant, dont les coordonnées sont les suivantes </w:t>
      </w:r>
      <w:r w:rsidRPr="00B5069E">
        <w:t>:</w:t>
      </w:r>
    </w:p>
    <w:p w14:paraId="2024E202" w14:textId="2F95BAA5" w:rsidR="009B5151" w:rsidRPr="00303DBC" w:rsidRDefault="009B5151" w:rsidP="009B5151">
      <w:pPr>
        <w:pStyle w:val="Default"/>
        <w:jc w:val="center"/>
        <w:rPr>
          <w:b/>
          <w:sz w:val="20"/>
          <w:szCs w:val="20"/>
        </w:rPr>
      </w:pPr>
      <w:r w:rsidRPr="00303DBC">
        <w:rPr>
          <w:b/>
          <w:bCs/>
          <w:sz w:val="20"/>
          <w:szCs w:val="20"/>
        </w:rPr>
        <w:t xml:space="preserve">Direction </w:t>
      </w:r>
      <w:r w:rsidR="006A2C48">
        <w:rPr>
          <w:b/>
          <w:bCs/>
          <w:sz w:val="20"/>
          <w:szCs w:val="20"/>
        </w:rPr>
        <w:t>G</w:t>
      </w:r>
      <w:r w:rsidRPr="00303DBC">
        <w:rPr>
          <w:b/>
          <w:bCs/>
          <w:sz w:val="20"/>
          <w:szCs w:val="20"/>
        </w:rPr>
        <w:t xml:space="preserve">énérale des </w:t>
      </w:r>
      <w:r w:rsidR="006A2C48">
        <w:rPr>
          <w:b/>
          <w:bCs/>
          <w:sz w:val="20"/>
          <w:szCs w:val="20"/>
        </w:rPr>
        <w:t>R</w:t>
      </w:r>
      <w:r w:rsidRPr="00303DBC">
        <w:rPr>
          <w:b/>
          <w:bCs/>
          <w:sz w:val="20"/>
          <w:szCs w:val="20"/>
        </w:rPr>
        <w:t xml:space="preserve">elations </w:t>
      </w:r>
      <w:r w:rsidR="006A2C48">
        <w:rPr>
          <w:b/>
          <w:bCs/>
          <w:sz w:val="20"/>
          <w:szCs w:val="20"/>
        </w:rPr>
        <w:t>I</w:t>
      </w:r>
      <w:r w:rsidRPr="00303DBC">
        <w:rPr>
          <w:b/>
          <w:bCs/>
          <w:sz w:val="20"/>
          <w:szCs w:val="20"/>
        </w:rPr>
        <w:t xml:space="preserve">nternationales et de la </w:t>
      </w:r>
      <w:r w:rsidR="006A2C48">
        <w:rPr>
          <w:b/>
          <w:bCs/>
          <w:sz w:val="20"/>
          <w:szCs w:val="20"/>
        </w:rPr>
        <w:t>S</w:t>
      </w:r>
      <w:r w:rsidRPr="00303DBC">
        <w:rPr>
          <w:b/>
          <w:bCs/>
          <w:sz w:val="20"/>
          <w:szCs w:val="20"/>
        </w:rPr>
        <w:t>tratégie (DGRIS)</w:t>
      </w:r>
    </w:p>
    <w:p w14:paraId="41FF31E1" w14:textId="06FD6F38" w:rsidR="009B5151" w:rsidRPr="00303DBC" w:rsidRDefault="009B5151" w:rsidP="009B5151">
      <w:pPr>
        <w:pStyle w:val="Default"/>
        <w:jc w:val="center"/>
        <w:rPr>
          <w:b/>
          <w:bCs/>
          <w:sz w:val="20"/>
          <w:szCs w:val="20"/>
        </w:rPr>
      </w:pPr>
      <w:r w:rsidRPr="00303DBC">
        <w:rPr>
          <w:b/>
          <w:bCs/>
          <w:sz w:val="20"/>
          <w:szCs w:val="20"/>
        </w:rPr>
        <w:t xml:space="preserve">Direction </w:t>
      </w:r>
      <w:r w:rsidR="006A2C48">
        <w:rPr>
          <w:b/>
          <w:bCs/>
          <w:sz w:val="20"/>
          <w:szCs w:val="20"/>
        </w:rPr>
        <w:t>S</w:t>
      </w:r>
      <w:r w:rsidRPr="00303DBC">
        <w:rPr>
          <w:b/>
          <w:bCs/>
          <w:sz w:val="20"/>
          <w:szCs w:val="20"/>
        </w:rPr>
        <w:t xml:space="preserve">tratégie de défense, </w:t>
      </w:r>
      <w:r w:rsidR="006A2C48">
        <w:rPr>
          <w:b/>
          <w:bCs/>
          <w:sz w:val="20"/>
          <w:szCs w:val="20"/>
        </w:rPr>
        <w:t>P</w:t>
      </w:r>
      <w:r w:rsidRPr="00303DBC">
        <w:rPr>
          <w:b/>
          <w:bCs/>
          <w:sz w:val="20"/>
          <w:szCs w:val="20"/>
        </w:rPr>
        <w:t xml:space="preserve">rospective et </w:t>
      </w:r>
      <w:r w:rsidR="006A2C48">
        <w:rPr>
          <w:b/>
          <w:bCs/>
          <w:sz w:val="20"/>
          <w:szCs w:val="20"/>
        </w:rPr>
        <w:t>C</w:t>
      </w:r>
      <w:r w:rsidRPr="00303DBC">
        <w:rPr>
          <w:b/>
          <w:bCs/>
          <w:sz w:val="20"/>
          <w:szCs w:val="20"/>
        </w:rPr>
        <w:t>ontre-prolifération (DSPC)</w:t>
      </w:r>
    </w:p>
    <w:p w14:paraId="762965B1" w14:textId="7BECAEEF" w:rsidR="009B5151" w:rsidRPr="00303DBC" w:rsidRDefault="009B5151" w:rsidP="009B5151">
      <w:pPr>
        <w:pStyle w:val="Default"/>
        <w:jc w:val="center"/>
        <w:rPr>
          <w:b/>
          <w:bCs/>
          <w:sz w:val="20"/>
          <w:szCs w:val="20"/>
        </w:rPr>
      </w:pPr>
      <w:r w:rsidRPr="00303DBC">
        <w:rPr>
          <w:b/>
          <w:bCs/>
          <w:sz w:val="20"/>
          <w:szCs w:val="20"/>
        </w:rPr>
        <w:t>Sous-</w:t>
      </w:r>
      <w:r w:rsidR="006A2C48">
        <w:rPr>
          <w:b/>
          <w:bCs/>
          <w:sz w:val="20"/>
          <w:szCs w:val="20"/>
        </w:rPr>
        <w:t>D</w:t>
      </w:r>
      <w:r w:rsidRPr="00303DBC">
        <w:rPr>
          <w:b/>
          <w:bCs/>
          <w:sz w:val="20"/>
          <w:szCs w:val="20"/>
        </w:rPr>
        <w:t xml:space="preserve">irection Stratégie de </w:t>
      </w:r>
      <w:r w:rsidR="006A2C48">
        <w:rPr>
          <w:b/>
          <w:bCs/>
          <w:sz w:val="20"/>
          <w:szCs w:val="20"/>
        </w:rPr>
        <w:t>D</w:t>
      </w:r>
      <w:r w:rsidRPr="00303DBC">
        <w:rPr>
          <w:b/>
          <w:bCs/>
          <w:sz w:val="20"/>
          <w:szCs w:val="20"/>
        </w:rPr>
        <w:t>éfense (SDSD)</w:t>
      </w:r>
    </w:p>
    <w:p w14:paraId="2D2F3927" w14:textId="12FE2D31" w:rsidR="009B5151" w:rsidRPr="00303DBC" w:rsidRDefault="009B5151" w:rsidP="009B5151">
      <w:pPr>
        <w:pStyle w:val="Default"/>
        <w:jc w:val="center"/>
        <w:rPr>
          <w:b/>
          <w:bCs/>
          <w:sz w:val="20"/>
          <w:szCs w:val="20"/>
        </w:rPr>
      </w:pPr>
      <w:r w:rsidRPr="00303DBC">
        <w:rPr>
          <w:b/>
          <w:bCs/>
          <w:sz w:val="20"/>
          <w:szCs w:val="20"/>
        </w:rPr>
        <w:t xml:space="preserve">Département Politiques et </w:t>
      </w:r>
      <w:r w:rsidR="006A2C48">
        <w:rPr>
          <w:b/>
          <w:bCs/>
          <w:sz w:val="20"/>
          <w:szCs w:val="20"/>
        </w:rPr>
        <w:t>E</w:t>
      </w:r>
      <w:r w:rsidRPr="00303DBC">
        <w:rPr>
          <w:b/>
          <w:bCs/>
          <w:sz w:val="20"/>
          <w:szCs w:val="20"/>
        </w:rPr>
        <w:t xml:space="preserve">nvironnement de </w:t>
      </w:r>
      <w:r w:rsidR="006A2C48">
        <w:rPr>
          <w:b/>
          <w:bCs/>
          <w:sz w:val="20"/>
          <w:szCs w:val="20"/>
        </w:rPr>
        <w:t>D</w:t>
      </w:r>
      <w:r w:rsidRPr="00303DBC">
        <w:rPr>
          <w:b/>
          <w:bCs/>
          <w:sz w:val="20"/>
          <w:szCs w:val="20"/>
        </w:rPr>
        <w:t>éfense (PED)</w:t>
      </w:r>
    </w:p>
    <w:p w14:paraId="07B05EC5" w14:textId="6C1D739B" w:rsidR="009B5151" w:rsidRPr="00303DBC" w:rsidRDefault="009B5151" w:rsidP="009B5151">
      <w:pPr>
        <w:pStyle w:val="Default"/>
        <w:jc w:val="center"/>
        <w:rPr>
          <w:b/>
          <w:bCs/>
          <w:sz w:val="20"/>
          <w:szCs w:val="20"/>
        </w:rPr>
      </w:pPr>
      <w:r w:rsidRPr="00303DBC">
        <w:rPr>
          <w:b/>
          <w:bCs/>
          <w:sz w:val="20"/>
          <w:szCs w:val="20"/>
        </w:rPr>
        <w:t xml:space="preserve">Section Mobilisation et </w:t>
      </w:r>
      <w:r w:rsidR="006A2C48">
        <w:rPr>
          <w:b/>
          <w:bCs/>
          <w:sz w:val="20"/>
          <w:szCs w:val="20"/>
        </w:rPr>
        <w:t>A</w:t>
      </w:r>
      <w:r w:rsidRPr="00303DBC">
        <w:rPr>
          <w:b/>
          <w:bCs/>
          <w:sz w:val="20"/>
          <w:szCs w:val="20"/>
        </w:rPr>
        <w:t xml:space="preserve">ppui à la </w:t>
      </w:r>
      <w:r w:rsidR="006A2C48">
        <w:rPr>
          <w:b/>
          <w:bCs/>
          <w:sz w:val="20"/>
          <w:szCs w:val="20"/>
        </w:rPr>
        <w:t>R</w:t>
      </w:r>
      <w:r w:rsidRPr="00303DBC">
        <w:rPr>
          <w:b/>
          <w:bCs/>
          <w:sz w:val="20"/>
          <w:szCs w:val="20"/>
        </w:rPr>
        <w:t xml:space="preserve">echerche </w:t>
      </w:r>
      <w:r w:rsidR="006A2C48">
        <w:rPr>
          <w:b/>
          <w:bCs/>
          <w:sz w:val="20"/>
          <w:szCs w:val="20"/>
        </w:rPr>
        <w:t>S</w:t>
      </w:r>
      <w:r w:rsidRPr="00303DBC">
        <w:rPr>
          <w:b/>
          <w:bCs/>
          <w:sz w:val="20"/>
          <w:szCs w:val="20"/>
        </w:rPr>
        <w:t>tratégique (MARS)</w:t>
      </w:r>
    </w:p>
    <w:p w14:paraId="143057A1" w14:textId="5D2E1E68" w:rsidR="009B5151" w:rsidRPr="00303DBC" w:rsidRDefault="009B5151" w:rsidP="009B5151">
      <w:pPr>
        <w:pStyle w:val="Default"/>
        <w:jc w:val="center"/>
        <w:rPr>
          <w:b/>
          <w:sz w:val="20"/>
          <w:szCs w:val="20"/>
        </w:rPr>
      </w:pPr>
      <w:r w:rsidRPr="00303DBC">
        <w:rPr>
          <w:b/>
          <w:bCs/>
          <w:sz w:val="20"/>
          <w:szCs w:val="20"/>
        </w:rPr>
        <w:t xml:space="preserve">60, boulevard du général Martial </w:t>
      </w:r>
      <w:proofErr w:type="spellStart"/>
      <w:r w:rsidRPr="00303DBC">
        <w:rPr>
          <w:b/>
          <w:bCs/>
          <w:sz w:val="20"/>
          <w:szCs w:val="20"/>
        </w:rPr>
        <w:t>Valin</w:t>
      </w:r>
      <w:proofErr w:type="spellEnd"/>
    </w:p>
    <w:p w14:paraId="1D9E6779" w14:textId="4D515C37" w:rsidR="009B5151" w:rsidRPr="00303DBC" w:rsidRDefault="009B5151" w:rsidP="009B5151">
      <w:pPr>
        <w:pStyle w:val="Default"/>
        <w:jc w:val="center"/>
        <w:rPr>
          <w:b/>
          <w:sz w:val="20"/>
          <w:szCs w:val="20"/>
        </w:rPr>
      </w:pPr>
      <w:r w:rsidRPr="00303DBC">
        <w:rPr>
          <w:b/>
          <w:bCs/>
          <w:sz w:val="20"/>
          <w:szCs w:val="20"/>
        </w:rPr>
        <w:t>CS 21623</w:t>
      </w:r>
    </w:p>
    <w:p w14:paraId="60F45855" w14:textId="77777777" w:rsidR="009B5151" w:rsidRPr="00BF4D90" w:rsidRDefault="009B5151" w:rsidP="009B5151">
      <w:pPr>
        <w:jc w:val="center"/>
        <w:rPr>
          <w:b/>
          <w:color w:val="1F497D"/>
          <w:sz w:val="22"/>
          <w:szCs w:val="22"/>
        </w:rPr>
      </w:pPr>
      <w:r w:rsidRPr="00303DBC">
        <w:rPr>
          <w:b/>
          <w:bCs/>
        </w:rPr>
        <w:t>75509 PARIS CEDEX 15</w:t>
      </w:r>
    </w:p>
    <w:p w14:paraId="122BEAD2" w14:textId="77777777" w:rsidR="00E85775" w:rsidRPr="00E85775" w:rsidRDefault="00E85775" w:rsidP="00C7548A"/>
    <w:p w14:paraId="39DC2CDE" w14:textId="77777777" w:rsidR="00E85775" w:rsidRPr="00E85775" w:rsidRDefault="00E85775" w:rsidP="000F7994">
      <w:pPr>
        <w:pStyle w:val="Titre2"/>
      </w:pPr>
      <w:bookmarkStart w:id="57" w:name="_Toc507666598"/>
      <w:bookmarkStart w:id="58" w:name="_Toc50109529"/>
      <w:bookmarkStart w:id="59" w:name="_Toc50113977"/>
      <w:bookmarkStart w:id="60" w:name="_Toc207979736"/>
      <w:r w:rsidRPr="00E85775">
        <w:t>5.2. Représentant du titulaire.</w:t>
      </w:r>
      <w:bookmarkEnd w:id="57"/>
      <w:bookmarkEnd w:id="58"/>
      <w:bookmarkEnd w:id="59"/>
      <w:bookmarkEnd w:id="60"/>
    </w:p>
    <w:p w14:paraId="4EB20B6D" w14:textId="77777777" w:rsidR="00E85775" w:rsidRPr="00E85775" w:rsidRDefault="00E85775" w:rsidP="00C7548A"/>
    <w:p w14:paraId="1F6D3914" w14:textId="50021001" w:rsidR="00E85775" w:rsidRPr="00E85775" w:rsidRDefault="00E85775" w:rsidP="00C7548A">
      <w:r w:rsidRPr="00E73B45">
        <w:rPr>
          <w:b/>
        </w:rPr>
        <w:t>5.2.1</w:t>
      </w:r>
      <w:r w:rsidRPr="00E85775">
        <w:t xml:space="preserve">. En application des dispositions de l'article 3.4 </w:t>
      </w:r>
      <w:r w:rsidRPr="000C09A3">
        <w:t>du CCAG</w:t>
      </w:r>
      <w:r w:rsidR="000C09A3" w:rsidRPr="000C09A3">
        <w:t>/PI,</w:t>
      </w:r>
      <w:r w:rsidR="000C09A3">
        <w:rPr>
          <w:color w:val="4F81BD"/>
        </w:rPr>
        <w:t xml:space="preserve"> </w:t>
      </w:r>
      <w:r w:rsidRPr="00E85775">
        <w:t xml:space="preserve">dès la notification </w:t>
      </w:r>
      <w:r w:rsidR="0037147F">
        <w:t>de l’accord-cadre</w:t>
      </w:r>
      <w:r w:rsidRPr="00E85775">
        <w:t xml:space="preserve">, le titulaire désigne une ou plusieurs personnes physiques, habilitées à le représenter auprès </w:t>
      </w:r>
      <w:r w:rsidR="00704FDE">
        <w:t>de l’acheteur</w:t>
      </w:r>
      <w:r w:rsidRPr="00E85775">
        <w:t xml:space="preserve">, pour les besoins de l'exécution </w:t>
      </w:r>
      <w:r w:rsidR="0037147F">
        <w:t>de l’accord-cadre</w:t>
      </w:r>
      <w:r w:rsidRPr="00E85775">
        <w:t xml:space="preserve">. D'autres personnes physiques peuvent être habilitées par le titulaire en cours d'exécution </w:t>
      </w:r>
      <w:r w:rsidR="0037147F">
        <w:t>de l’accord-cadre</w:t>
      </w:r>
      <w:r w:rsidRPr="00E85775">
        <w:t>.</w:t>
      </w:r>
    </w:p>
    <w:p w14:paraId="3C337DFF" w14:textId="77777777" w:rsidR="00E85775" w:rsidRPr="00E85775" w:rsidRDefault="00E85775" w:rsidP="00C7548A"/>
    <w:p w14:paraId="1E756F4A" w14:textId="77777777" w:rsidR="00E85775" w:rsidRPr="00E85775" w:rsidRDefault="00E85775" w:rsidP="00C7548A">
      <w:r w:rsidRPr="00E85775">
        <w:t xml:space="preserve">Ce ou ces représentants sont réputés disposer des pouvoirs suffisants pour prendre, dès notification de leur nom </w:t>
      </w:r>
      <w:r w:rsidR="00704FDE">
        <w:t>à l’acheteur</w:t>
      </w:r>
      <w:r w:rsidR="00704FDE" w:rsidRPr="00E85775">
        <w:t xml:space="preserve"> </w:t>
      </w:r>
      <w:r w:rsidRPr="00E85775">
        <w:t xml:space="preserve">dans les délais requis ou impartis par </w:t>
      </w:r>
      <w:r w:rsidR="0037147F">
        <w:t>l’accord-cadre</w:t>
      </w:r>
      <w:r w:rsidRPr="00E85775">
        <w:t xml:space="preserve">, les décisions nécessaires engageant le titulaire. </w:t>
      </w:r>
    </w:p>
    <w:p w14:paraId="1A3B2095" w14:textId="77777777" w:rsidR="00E85775" w:rsidRPr="00E85775" w:rsidRDefault="00E85775" w:rsidP="00C7548A"/>
    <w:p w14:paraId="695DBE88" w14:textId="29228F8A" w:rsidR="00E85775" w:rsidRDefault="00E85775" w:rsidP="00C7548A">
      <w:r w:rsidRPr="00E73B45">
        <w:rPr>
          <w:b/>
        </w:rPr>
        <w:t>5.2.2.</w:t>
      </w:r>
      <w:r w:rsidRPr="00E85775">
        <w:t xml:space="preserve"> Conformément aux dispositions de l'article 3.4.2</w:t>
      </w:r>
      <w:r w:rsidRPr="000C09A3">
        <w:t xml:space="preserve"> du </w:t>
      </w:r>
      <w:r w:rsidR="000C09A3" w:rsidRPr="000C09A3">
        <w:t>CCAG/PI,</w:t>
      </w:r>
      <w:r w:rsidRPr="00E85775">
        <w:t xml:space="preserve"> le titulaire est tenu de notifier sans délai </w:t>
      </w:r>
      <w:r w:rsidR="00704FDE">
        <w:t>à l’acheteur</w:t>
      </w:r>
      <w:r w:rsidR="00704FDE" w:rsidRPr="00E85775">
        <w:t xml:space="preserve"> </w:t>
      </w:r>
      <w:r w:rsidRPr="00E85775">
        <w:t xml:space="preserve">les modifications survenant au cours de l'exécution </w:t>
      </w:r>
      <w:r w:rsidR="0037147F">
        <w:t>de l’accord-cadre</w:t>
      </w:r>
      <w:r w:rsidRPr="00E85775">
        <w:t xml:space="preserve"> et de façon générale, à toutes les modifications importantes de fonctionnement de l'entreprise pouvant influer sur le déroulement </w:t>
      </w:r>
      <w:r w:rsidR="0037147F">
        <w:t>de l’accord-cadre</w:t>
      </w:r>
      <w:r w:rsidRPr="00E85775">
        <w:t>.</w:t>
      </w:r>
    </w:p>
    <w:p w14:paraId="4C634F68" w14:textId="77777777" w:rsidR="00704FDE" w:rsidRDefault="00704FDE" w:rsidP="00C7548A"/>
    <w:p w14:paraId="18EA271E" w14:textId="401FB9AD" w:rsidR="00704FDE" w:rsidRPr="00E85775" w:rsidRDefault="00704FDE" w:rsidP="00C7548A">
      <w:r w:rsidRPr="00E73B45">
        <w:rPr>
          <w:b/>
        </w:rPr>
        <w:t>5.2.3.</w:t>
      </w:r>
      <w:r>
        <w:t xml:space="preserve"> Conformément à l’article 3.5 </w:t>
      </w:r>
      <w:r w:rsidRPr="00704FDE">
        <w:rPr>
          <w:color w:val="000000" w:themeColor="text1"/>
        </w:rPr>
        <w:t xml:space="preserve">du CCAG/PI, le </w:t>
      </w:r>
      <w:r>
        <w:t>membre du groupement d’opérateurs économiques, désigné comme le mandataire, représente l’ensemble des membres du groupement vis-à-vis de l’acheteur pour l’exécution de l’accord-cadre. En cas de défaillance du mandataire du groupement, les membres du groupement sont tenus de lui désigner un remplaçant</w:t>
      </w:r>
      <w:r w:rsidR="00A06700">
        <w:t>.</w:t>
      </w:r>
    </w:p>
    <w:p w14:paraId="00BBECE0" w14:textId="11FFC1D8" w:rsidR="00E85775" w:rsidRPr="00CD502D" w:rsidRDefault="00E85775" w:rsidP="00CD502D">
      <w:pPr>
        <w:pStyle w:val="Titre1"/>
        <w:keepLines/>
        <w:numPr>
          <w:ilvl w:val="0"/>
          <w:numId w:val="0"/>
        </w:numPr>
        <w:spacing w:before="240" w:after="0"/>
        <w:rPr>
          <w:rFonts w:ascii="Arial" w:hAnsi="Arial" w:cs="Arial"/>
          <w:sz w:val="22"/>
          <w:szCs w:val="22"/>
        </w:rPr>
      </w:pPr>
      <w:bookmarkStart w:id="61" w:name="_Toc507666599"/>
      <w:bookmarkStart w:id="62" w:name="_Toc50109530"/>
      <w:bookmarkStart w:id="63" w:name="_Toc50113978"/>
      <w:bookmarkStart w:id="64" w:name="_Toc207979737"/>
      <w:r w:rsidRPr="00CD502D">
        <w:rPr>
          <w:rFonts w:ascii="Arial" w:hAnsi="Arial" w:cs="Arial"/>
          <w:sz w:val="22"/>
          <w:szCs w:val="22"/>
        </w:rPr>
        <w:t xml:space="preserve">ARTICLE 6 - </w:t>
      </w:r>
      <w:r w:rsidR="00C4444E" w:rsidRPr="00CD502D">
        <w:rPr>
          <w:rFonts w:ascii="Arial" w:hAnsi="Arial" w:cs="Arial"/>
          <w:sz w:val="22"/>
          <w:szCs w:val="22"/>
        </w:rPr>
        <w:t>CONDITIONS D’EXÉ</w:t>
      </w:r>
      <w:r w:rsidR="00524AD6" w:rsidRPr="00CD502D">
        <w:rPr>
          <w:rFonts w:ascii="Arial" w:hAnsi="Arial" w:cs="Arial"/>
          <w:sz w:val="22"/>
          <w:szCs w:val="22"/>
        </w:rPr>
        <w:t>CUTION</w:t>
      </w:r>
      <w:r w:rsidRPr="00CD502D">
        <w:rPr>
          <w:rFonts w:ascii="Arial" w:hAnsi="Arial" w:cs="Arial"/>
          <w:sz w:val="22"/>
          <w:szCs w:val="22"/>
        </w:rPr>
        <w:t>.</w:t>
      </w:r>
      <w:bookmarkEnd w:id="61"/>
      <w:bookmarkEnd w:id="62"/>
      <w:bookmarkEnd w:id="63"/>
      <w:bookmarkEnd w:id="64"/>
    </w:p>
    <w:p w14:paraId="447B05A5" w14:textId="77777777" w:rsidR="00E85775" w:rsidRPr="00E85775" w:rsidRDefault="00E85775" w:rsidP="00C7548A"/>
    <w:p w14:paraId="3E947498" w14:textId="77777777" w:rsidR="00E85775" w:rsidRPr="000F7994" w:rsidRDefault="00E85775" w:rsidP="000F7994">
      <w:pPr>
        <w:pStyle w:val="Titre2"/>
      </w:pPr>
      <w:bookmarkStart w:id="65" w:name="_Toc507666600"/>
      <w:bookmarkStart w:id="66" w:name="_Toc50109531"/>
      <w:bookmarkStart w:id="67" w:name="_Toc50113979"/>
      <w:bookmarkStart w:id="68" w:name="_Toc207979738"/>
      <w:r w:rsidRPr="000F7994">
        <w:t>6.1. Conditions générales d'exécution.</w:t>
      </w:r>
      <w:bookmarkEnd w:id="65"/>
      <w:bookmarkEnd w:id="66"/>
      <w:bookmarkEnd w:id="67"/>
      <w:bookmarkEnd w:id="68"/>
    </w:p>
    <w:p w14:paraId="6049AE81" w14:textId="77777777" w:rsidR="00E85775" w:rsidRPr="00E85775" w:rsidRDefault="00E85775" w:rsidP="00C7548A"/>
    <w:p w14:paraId="05B8690D" w14:textId="77777777" w:rsidR="00E85775" w:rsidRPr="00DB6085" w:rsidRDefault="00E85775" w:rsidP="00C7548A">
      <w:pPr>
        <w:pStyle w:val="Titre6"/>
      </w:pPr>
      <w:bookmarkStart w:id="69" w:name="_Toc507666601"/>
      <w:bookmarkStart w:id="70" w:name="_Toc50109532"/>
      <w:r w:rsidRPr="00DB6085">
        <w:t>6.1.1. Responsabilité du titulaire.</w:t>
      </w:r>
      <w:bookmarkEnd w:id="69"/>
      <w:bookmarkEnd w:id="70"/>
    </w:p>
    <w:p w14:paraId="0EA2D791" w14:textId="77777777" w:rsidR="00E85775" w:rsidRPr="00E85775" w:rsidRDefault="00E85775" w:rsidP="00C7548A"/>
    <w:p w14:paraId="18347FDD" w14:textId="77777777" w:rsidR="00E85775" w:rsidRPr="00E85775" w:rsidRDefault="00E85775" w:rsidP="00C7548A">
      <w:r w:rsidRPr="00E85775">
        <w:t xml:space="preserve">Le titulaire a la responsabilité de réaliser les prestations conformément aux clauses prévues par le présent </w:t>
      </w:r>
      <w:r w:rsidR="0037147F">
        <w:t>accord-cadre</w:t>
      </w:r>
      <w:r w:rsidRPr="00E85775">
        <w:t>. Il doit obtenir le résultat demandé avec les moyens qu'il a choisis.</w:t>
      </w:r>
    </w:p>
    <w:p w14:paraId="3119FEE1" w14:textId="77777777" w:rsidR="00E85775" w:rsidRPr="00E85775" w:rsidRDefault="00E85775" w:rsidP="00C7548A"/>
    <w:p w14:paraId="4D53BD0D" w14:textId="77777777" w:rsidR="00E85775" w:rsidRPr="00E85775" w:rsidRDefault="00E85775" w:rsidP="00C7548A">
      <w:pPr>
        <w:pStyle w:val="Titre6"/>
      </w:pPr>
      <w:bookmarkStart w:id="71" w:name="_Toc507666602"/>
      <w:bookmarkStart w:id="72" w:name="_Toc50109533"/>
      <w:r w:rsidRPr="00E85775">
        <w:t>6.1.2. Lieux d'exécution.</w:t>
      </w:r>
      <w:bookmarkEnd w:id="71"/>
      <w:bookmarkEnd w:id="72"/>
    </w:p>
    <w:p w14:paraId="20888839" w14:textId="77777777" w:rsidR="00E85775" w:rsidRPr="00E85775" w:rsidRDefault="00E85775" w:rsidP="00C7548A"/>
    <w:p w14:paraId="30DEA6C9" w14:textId="77777777" w:rsidR="00E85775" w:rsidRPr="00FA0713" w:rsidRDefault="00E85775" w:rsidP="00C7548A">
      <w:r w:rsidRPr="00FA0713">
        <w:t>Les prestations sont réalisées</w:t>
      </w:r>
      <w:r w:rsidR="00086E02" w:rsidRPr="00FA0713">
        <w:t xml:space="preserve"> </w:t>
      </w:r>
      <w:r w:rsidRPr="00FA0713">
        <w:t>:</w:t>
      </w:r>
    </w:p>
    <w:p w14:paraId="68B129B6" w14:textId="77777777" w:rsidR="00E85775" w:rsidRPr="00FA0713" w:rsidRDefault="00E85775" w:rsidP="00C7548A"/>
    <w:p w14:paraId="6F9A09E6" w14:textId="498135CE" w:rsidR="00E85775" w:rsidRPr="00FA0713" w:rsidRDefault="00E85775" w:rsidP="00847417">
      <w:pPr>
        <w:ind w:left="284" w:hanging="284"/>
      </w:pPr>
      <w:r w:rsidRPr="00FA0713">
        <w:t xml:space="preserve">a) </w:t>
      </w:r>
      <w:r w:rsidR="00847417">
        <w:tab/>
      </w:r>
      <w:r w:rsidR="00ED79E4">
        <w:t xml:space="preserve">essentiellement </w:t>
      </w:r>
      <w:r w:rsidRPr="00FA0713">
        <w:t>dans les locaux du titulaire à l'adresse indiquée dans l'offre technique ;</w:t>
      </w:r>
    </w:p>
    <w:p w14:paraId="037AB425" w14:textId="77777777" w:rsidR="00E85775" w:rsidRPr="003662C4" w:rsidRDefault="00E85775" w:rsidP="00847417">
      <w:pPr>
        <w:ind w:left="284" w:hanging="284"/>
        <w:rPr>
          <w:highlight w:val="yellow"/>
        </w:rPr>
      </w:pPr>
    </w:p>
    <w:p w14:paraId="155D9F06" w14:textId="21E54F7F" w:rsidR="007C58E8" w:rsidRDefault="00E85775" w:rsidP="00847417">
      <w:pPr>
        <w:ind w:left="284" w:hanging="284"/>
      </w:pPr>
      <w:r w:rsidRPr="00EA7B1E">
        <w:t xml:space="preserve">b) </w:t>
      </w:r>
      <w:r w:rsidR="00847417">
        <w:tab/>
      </w:r>
      <w:r w:rsidRPr="00EA7B1E">
        <w:t>dans les locaux de l</w:t>
      </w:r>
      <w:r w:rsidR="007C58E8" w:rsidRPr="00EA7B1E">
        <w:t xml:space="preserve">a personne publique </w:t>
      </w:r>
      <w:bookmarkStart w:id="73" w:name="_Toc507666603"/>
      <w:bookmarkStart w:id="74" w:name="_Toc50109534"/>
      <w:r w:rsidR="00061839" w:rsidRPr="00EA7B1E">
        <w:rPr>
          <w:rFonts w:cs="Arial"/>
        </w:rPr>
        <w:t>en région parisienne à l’adresse mentionnée à l’article 5.1.</w:t>
      </w:r>
      <w:r w:rsidR="00EA7B1E">
        <w:rPr>
          <w:rFonts w:cs="Arial"/>
        </w:rPr>
        <w:t>2</w:t>
      </w:r>
      <w:r w:rsidR="00061839" w:rsidRPr="00EA7B1E">
        <w:rPr>
          <w:rFonts w:cs="Arial"/>
        </w:rPr>
        <w:t xml:space="preserve"> </w:t>
      </w:r>
      <w:r w:rsidR="008E2566">
        <w:rPr>
          <w:rFonts w:cs="Arial"/>
        </w:rPr>
        <w:t>du présent document</w:t>
      </w:r>
      <w:r w:rsidR="00061839" w:rsidRPr="00EA7B1E">
        <w:rPr>
          <w:rFonts w:cs="Arial"/>
        </w:rPr>
        <w:t>.</w:t>
      </w:r>
    </w:p>
    <w:p w14:paraId="43AA69C5" w14:textId="77777777" w:rsidR="007C58E8" w:rsidRDefault="007C58E8" w:rsidP="007C58E8"/>
    <w:p w14:paraId="7BA87411" w14:textId="77777777" w:rsidR="003662C4" w:rsidRPr="00E85775" w:rsidRDefault="003662C4" w:rsidP="003662C4">
      <w:pPr>
        <w:pStyle w:val="Titre6"/>
      </w:pPr>
      <w:bookmarkStart w:id="75" w:name="_Toc507666604"/>
      <w:bookmarkStart w:id="76" w:name="_Toc50109535"/>
      <w:bookmarkStart w:id="77" w:name="_Toc80794628"/>
      <w:r w:rsidRPr="00E85775">
        <w:t>6.1.3. Moyens mis à la disposition du titulaire</w:t>
      </w:r>
      <w:r>
        <w:rPr>
          <w:lang w:val="fr-FR"/>
        </w:rPr>
        <w:t xml:space="preserve"> et leur assurance</w:t>
      </w:r>
      <w:r w:rsidRPr="00E85775">
        <w:t>.</w:t>
      </w:r>
      <w:bookmarkEnd w:id="75"/>
      <w:bookmarkEnd w:id="76"/>
      <w:bookmarkEnd w:id="77"/>
    </w:p>
    <w:p w14:paraId="0879B7A6" w14:textId="77777777" w:rsidR="003662C4" w:rsidRPr="00E85775" w:rsidRDefault="003662C4" w:rsidP="003662C4"/>
    <w:p w14:paraId="40871E5E" w14:textId="77777777" w:rsidR="003662C4" w:rsidRDefault="003662C4" w:rsidP="003662C4">
      <w:r w:rsidRPr="00F551A5">
        <w:t xml:space="preserve">Il </w:t>
      </w:r>
      <w:r>
        <w:t xml:space="preserve">est fait application des </w:t>
      </w:r>
      <w:r w:rsidRPr="00F551A5">
        <w:t>article</w:t>
      </w:r>
      <w:r>
        <w:t>s 17 et</w:t>
      </w:r>
      <w:r w:rsidRPr="00F551A5">
        <w:t xml:space="preserve"> 1</w:t>
      </w:r>
      <w:r>
        <w:t>8</w:t>
      </w:r>
      <w:r w:rsidRPr="00F551A5">
        <w:t xml:space="preserve"> du</w:t>
      </w:r>
      <w:r>
        <w:t xml:space="preserve"> CCAG/PI</w:t>
      </w:r>
      <w:r w:rsidRPr="00F551A5">
        <w:t>.</w:t>
      </w:r>
    </w:p>
    <w:p w14:paraId="1AA4C56E" w14:textId="77777777" w:rsidR="003662C4" w:rsidRDefault="003662C4" w:rsidP="003662C4"/>
    <w:p w14:paraId="5935EFAE" w14:textId="623C6C35" w:rsidR="003662C4" w:rsidRDefault="00A06700" w:rsidP="007C58E8">
      <w:r w:rsidRPr="002B649C">
        <w:t xml:space="preserve">Les constats mentionnés à l’article 17 du CCAG/PI sont signés par l’autorité définie à l’article 5.1.2 </w:t>
      </w:r>
      <w:r w:rsidR="008E2566">
        <w:t xml:space="preserve">du présent document </w:t>
      </w:r>
      <w:r w:rsidRPr="002B649C">
        <w:t>et par le titulaire.</w:t>
      </w:r>
    </w:p>
    <w:p w14:paraId="19513F2D" w14:textId="77777777" w:rsidR="009C2FCB" w:rsidRDefault="009C2FCB" w:rsidP="007C58E8"/>
    <w:p w14:paraId="0538D4BC" w14:textId="77777777" w:rsidR="00E85775" w:rsidRPr="00E85775" w:rsidRDefault="00E85775" w:rsidP="000F7994">
      <w:pPr>
        <w:pStyle w:val="Titre2"/>
      </w:pPr>
      <w:bookmarkStart w:id="78" w:name="_Toc507666610"/>
      <w:bookmarkStart w:id="79" w:name="_Toc50109541"/>
      <w:bookmarkStart w:id="80" w:name="_Toc50113980"/>
      <w:bookmarkStart w:id="81" w:name="_Toc207979739"/>
      <w:bookmarkEnd w:id="73"/>
      <w:bookmarkEnd w:id="74"/>
      <w:r w:rsidRPr="00E85775">
        <w:t>6.2. Dispositions particulières concernant le personnel du titulaire.</w:t>
      </w:r>
      <w:bookmarkEnd w:id="78"/>
      <w:bookmarkEnd w:id="79"/>
      <w:bookmarkEnd w:id="80"/>
      <w:bookmarkEnd w:id="81"/>
    </w:p>
    <w:p w14:paraId="7045E0B3" w14:textId="77777777" w:rsidR="00E85775" w:rsidRPr="00E85775" w:rsidRDefault="00E85775" w:rsidP="00C7548A"/>
    <w:p w14:paraId="43CA19E7" w14:textId="77777777" w:rsidR="00E85775" w:rsidRPr="00E85775" w:rsidRDefault="00E85775" w:rsidP="00C7548A">
      <w:pPr>
        <w:pStyle w:val="Titre6"/>
      </w:pPr>
      <w:bookmarkStart w:id="82" w:name="_Toc507666611"/>
      <w:bookmarkStart w:id="83" w:name="_Toc50109542"/>
      <w:r w:rsidRPr="00E85775">
        <w:t>6.2.1. Réalisation des prestations.</w:t>
      </w:r>
      <w:bookmarkEnd w:id="82"/>
      <w:bookmarkEnd w:id="83"/>
    </w:p>
    <w:p w14:paraId="3B509BE5" w14:textId="77777777" w:rsidR="00E85775" w:rsidRPr="00E85775" w:rsidRDefault="00E85775" w:rsidP="00C7548A"/>
    <w:p w14:paraId="1E796607" w14:textId="77777777" w:rsidR="00E85775" w:rsidRPr="00E85775" w:rsidRDefault="00E85775" w:rsidP="00C7548A">
      <w:r w:rsidRPr="00E85775">
        <w:t xml:space="preserve">Le titulaire est responsable du personnel qu'il a désigné pour la réalisation des prestations objet </w:t>
      </w:r>
      <w:r w:rsidR="0037147F">
        <w:t>de l’accord-cadre</w:t>
      </w:r>
      <w:r w:rsidRPr="00E85775">
        <w:t>.</w:t>
      </w:r>
    </w:p>
    <w:p w14:paraId="324BD91C" w14:textId="77777777" w:rsidR="00E85775" w:rsidRPr="00E85775" w:rsidRDefault="00E85775" w:rsidP="00C7548A"/>
    <w:p w14:paraId="22D4D45A" w14:textId="617CCD66" w:rsidR="00E85775" w:rsidRPr="00E85775" w:rsidRDefault="00E85775" w:rsidP="00C7548A">
      <w:r w:rsidRPr="00E85775">
        <w:t xml:space="preserve">Si pour une raison indépendante de leur volonté, tout ou partie du personnel désigné par le titulaire est dans l'impossibilité d'assurer lui-même la réalisation des prestations, le titulaire en avise sans délai </w:t>
      </w:r>
      <w:r w:rsidR="00A87FAB">
        <w:t>l’acheteur</w:t>
      </w:r>
      <w:r w:rsidRPr="00E85775">
        <w:t xml:space="preserve"> et pourvoit à leur remplacement afin que l'exécution des prestations ne s'en trouve ni compromise, ni altérée.</w:t>
      </w:r>
    </w:p>
    <w:p w14:paraId="59E3379E" w14:textId="77777777" w:rsidR="00E85775" w:rsidRPr="00E85775" w:rsidRDefault="00E85775" w:rsidP="00C7548A"/>
    <w:p w14:paraId="7CD987B4" w14:textId="77777777" w:rsidR="00E85775" w:rsidRPr="00E85775" w:rsidRDefault="00E85775" w:rsidP="00C7548A">
      <w:pPr>
        <w:pStyle w:val="Titre6"/>
      </w:pPr>
      <w:bookmarkStart w:id="84" w:name="_Toc507666612"/>
      <w:bookmarkStart w:id="85" w:name="_Toc50109543"/>
      <w:r w:rsidRPr="00E85775">
        <w:t>6.2.2. Remplacement.</w:t>
      </w:r>
      <w:bookmarkEnd w:id="84"/>
      <w:bookmarkEnd w:id="85"/>
    </w:p>
    <w:p w14:paraId="40380664" w14:textId="77777777" w:rsidR="00E85775" w:rsidRPr="00E85775" w:rsidRDefault="00E85775" w:rsidP="00C7548A"/>
    <w:p w14:paraId="405A09DD" w14:textId="332E95CD" w:rsidR="003662C4" w:rsidRPr="003662C4" w:rsidRDefault="003662C4" w:rsidP="003662C4">
      <w:pPr>
        <w:rPr>
          <w:color w:val="000000" w:themeColor="text1"/>
        </w:rPr>
      </w:pPr>
      <w:r w:rsidRPr="006E711E">
        <w:t>Par dérogation à l’article 3.4.</w:t>
      </w:r>
      <w:r w:rsidRPr="003662C4">
        <w:rPr>
          <w:color w:val="000000" w:themeColor="text1"/>
        </w:rPr>
        <w:t xml:space="preserve">3 du CCAG/PI, pour toute prestation, le titulaire s'engage à procéder au remplacement d'une personne absente, dans un délai </w:t>
      </w:r>
      <w:r w:rsidR="009C2FCB">
        <w:rPr>
          <w:color w:val="000000" w:themeColor="text1"/>
        </w:rPr>
        <w:t>d’un</w:t>
      </w:r>
      <w:r w:rsidR="00A52A17" w:rsidRPr="009C2FCB">
        <w:rPr>
          <w:color w:val="000000" w:themeColor="text1"/>
        </w:rPr>
        <w:t xml:space="preserve"> (1) mois</w:t>
      </w:r>
      <w:r w:rsidRPr="003662C4">
        <w:rPr>
          <w:color w:val="000000" w:themeColor="text1"/>
        </w:rPr>
        <w:t xml:space="preserve"> à compter du premier jour de l’absence, par une autre personne possédant, pour la prestation à assurer, une qualification et des compétences au moins équivalentes à celles de la personne initialement prévue.</w:t>
      </w:r>
    </w:p>
    <w:p w14:paraId="59392D77" w14:textId="77777777" w:rsidR="003662C4" w:rsidRPr="003662C4" w:rsidRDefault="003662C4" w:rsidP="003662C4">
      <w:pPr>
        <w:rPr>
          <w:color w:val="000000" w:themeColor="text1"/>
        </w:rPr>
      </w:pPr>
    </w:p>
    <w:p w14:paraId="01920155" w14:textId="77777777" w:rsidR="003662C4" w:rsidRPr="008D4818" w:rsidRDefault="003662C4" w:rsidP="003662C4">
      <w:r w:rsidRPr="003662C4">
        <w:rPr>
          <w:color w:val="000000" w:themeColor="text1"/>
        </w:rPr>
        <w:t>Par dérogation à l’article 3.4.3 du CCAG/PI, l’intervenant remplaçant doit être agréé par la personne habilitée</w:t>
      </w:r>
      <w:r w:rsidR="00162367">
        <w:rPr>
          <w:color w:val="000000" w:themeColor="text1"/>
        </w:rPr>
        <w:t>,</w:t>
      </w:r>
      <w:r w:rsidRPr="003662C4">
        <w:rPr>
          <w:color w:val="000000" w:themeColor="text1"/>
        </w:rPr>
        <w:t xml:space="preserve"> mentionnée à l’article 5.1</w:t>
      </w:r>
      <w:r w:rsidR="00162367">
        <w:rPr>
          <w:color w:val="000000" w:themeColor="text1"/>
        </w:rPr>
        <w:t>.2</w:t>
      </w:r>
      <w:r w:rsidRPr="003662C4">
        <w:rPr>
          <w:color w:val="000000" w:themeColor="text1"/>
        </w:rPr>
        <w:t xml:space="preserve"> </w:t>
      </w:r>
      <w:r>
        <w:t>du présent document</w:t>
      </w:r>
      <w:r w:rsidRPr="008D4818">
        <w:t>.</w:t>
      </w:r>
    </w:p>
    <w:p w14:paraId="2A97662A" w14:textId="77777777" w:rsidR="00A06700" w:rsidRDefault="00A06700" w:rsidP="003662C4"/>
    <w:p w14:paraId="5949B7D9" w14:textId="5E2773EE" w:rsidR="003662C4" w:rsidRDefault="003662C4" w:rsidP="003662C4">
      <w:r w:rsidRPr="008D4818">
        <w:t>De même, toute évolution de la liste des intervenants et des suppléants éventuels mentionnée dans l’offre du titulaire doit être validée par la personne habilitée</w:t>
      </w:r>
      <w:r w:rsidR="00162367">
        <w:t>, mentionnée à l’</w:t>
      </w:r>
      <w:r w:rsidRPr="008D4818">
        <w:t>article 5.1</w:t>
      </w:r>
      <w:r w:rsidR="00162367">
        <w:t>.2</w:t>
      </w:r>
      <w:r>
        <w:t xml:space="preserve"> du présent document</w:t>
      </w:r>
      <w:r w:rsidRPr="008D4818">
        <w:t>.</w:t>
      </w:r>
    </w:p>
    <w:p w14:paraId="7C1EF2D8" w14:textId="77777777" w:rsidR="003662C4" w:rsidRPr="00E85775" w:rsidRDefault="003662C4" w:rsidP="003662C4"/>
    <w:p w14:paraId="4A574D2B" w14:textId="77777777" w:rsidR="00E85775" w:rsidRPr="00E85775" w:rsidRDefault="00E85775" w:rsidP="00C7548A">
      <w:r w:rsidRPr="00E85775">
        <w:t xml:space="preserve">En aucun cas le remplacement du personnel ne peut justifier une augmentation du prix indiqué dans </w:t>
      </w:r>
      <w:r w:rsidR="0037147F">
        <w:t>l’accord-cadre</w:t>
      </w:r>
      <w:r w:rsidRPr="00E85775">
        <w:t>.</w:t>
      </w:r>
    </w:p>
    <w:p w14:paraId="1238387A" w14:textId="77777777" w:rsidR="00E85775" w:rsidRPr="00E85775" w:rsidRDefault="00E85775" w:rsidP="00C7548A"/>
    <w:p w14:paraId="11DB493C" w14:textId="77777777" w:rsidR="00E85775" w:rsidRPr="00E85775" w:rsidRDefault="00E85775" w:rsidP="00C7548A">
      <w:pPr>
        <w:pStyle w:val="Titre6"/>
      </w:pPr>
      <w:bookmarkStart w:id="86" w:name="_Toc507666613"/>
      <w:bookmarkStart w:id="87" w:name="_Toc50109544"/>
      <w:r w:rsidRPr="00E85775">
        <w:t>6.2.3. Récusation du personnel du titulaire par la personne publique.</w:t>
      </w:r>
      <w:bookmarkEnd w:id="86"/>
      <w:bookmarkEnd w:id="87"/>
    </w:p>
    <w:p w14:paraId="24953D05" w14:textId="77777777" w:rsidR="00E85775" w:rsidRPr="00E85775" w:rsidRDefault="00E85775" w:rsidP="00C7548A"/>
    <w:p w14:paraId="0C52A177" w14:textId="77777777" w:rsidR="008D4818" w:rsidRPr="008D4818" w:rsidRDefault="008D4818" w:rsidP="00C7548A">
      <w:r w:rsidRPr="000B19DC">
        <w:t xml:space="preserve">Par dérogation à l’article 3.4 du CCAG/PI, pendant toute la durée d'exécution </w:t>
      </w:r>
      <w:r w:rsidR="0037147F">
        <w:t>de l’accord-cadre</w:t>
      </w:r>
      <w:r w:rsidRPr="000B19DC">
        <w:t xml:space="preserve">, la personne publique se </w:t>
      </w:r>
      <w:r w:rsidRPr="008D4818">
        <w:t xml:space="preserve">réserve le droit de récuser </w:t>
      </w:r>
      <w:r w:rsidR="00AA2953">
        <w:t>tout personnel</w:t>
      </w:r>
      <w:r w:rsidR="00AA2953" w:rsidRPr="008D4818">
        <w:t xml:space="preserve"> </w:t>
      </w:r>
      <w:r w:rsidRPr="008D4818">
        <w:t xml:space="preserve">du titulaire qui s'avérerait inadapté à l'exécution de cette prestation sans que sa décision ait à être justifiée. </w:t>
      </w:r>
      <w:r w:rsidR="00AA2953">
        <w:t>L’acheteur se réserve le droit de procéder à la récusation de tout personnel du titulaire en cas de comportement fautif</w:t>
      </w:r>
      <w:r w:rsidRPr="008D4818">
        <w:t>.</w:t>
      </w:r>
    </w:p>
    <w:p w14:paraId="590911FE" w14:textId="77777777" w:rsidR="008D4818" w:rsidRPr="008D4818" w:rsidRDefault="008D4818" w:rsidP="00C7548A"/>
    <w:p w14:paraId="4C042D37" w14:textId="397D4865" w:rsidR="00E85775" w:rsidRDefault="008D4818" w:rsidP="00C7548A">
      <w:r w:rsidRPr="008D4818">
        <w:t>Sans acceptation préalable de la personne habilitée</w:t>
      </w:r>
      <w:r w:rsidR="00DA5F8D">
        <w:t xml:space="preserve"> mentionnée à l’a</w:t>
      </w:r>
      <w:r w:rsidRPr="008D4818">
        <w:t>rticle 5.1</w:t>
      </w:r>
      <w:r w:rsidR="00DA5F8D">
        <w:t>.2</w:t>
      </w:r>
      <w:r w:rsidR="00093459">
        <w:t xml:space="preserve"> du présent document</w:t>
      </w:r>
      <w:r w:rsidRPr="008D4818">
        <w:t>, le remplacement de personnels du titulaire entre eux, pour convenances personnelles, est également considéré comme un motif de récusation sans autre justification.</w:t>
      </w:r>
    </w:p>
    <w:p w14:paraId="57477F0E" w14:textId="77777777" w:rsidR="008D4818" w:rsidRPr="00E85775" w:rsidRDefault="008D4818" w:rsidP="00C7548A"/>
    <w:p w14:paraId="6CE22163" w14:textId="3E14DAB9" w:rsidR="00E85775" w:rsidRPr="00E85775" w:rsidRDefault="00E85775" w:rsidP="00C7548A">
      <w:r w:rsidRPr="000B19DC">
        <w:t xml:space="preserve">Le titulaire doit alors procéder au remplacement des personnels récusés dans un délai </w:t>
      </w:r>
      <w:r w:rsidR="00AA2953" w:rsidRPr="00CC6AFC">
        <w:t>d</w:t>
      </w:r>
      <w:r w:rsidR="009C2FCB" w:rsidRPr="00CC6AFC">
        <w:rPr>
          <w:color w:val="000000" w:themeColor="text1"/>
        </w:rPr>
        <w:t>’un</w:t>
      </w:r>
      <w:r w:rsidR="00A52A17" w:rsidRPr="00CC6AFC">
        <w:rPr>
          <w:color w:val="000000" w:themeColor="text1"/>
        </w:rPr>
        <w:t xml:space="preserve"> (1) mois</w:t>
      </w:r>
      <w:r w:rsidR="000B19DC" w:rsidRPr="00CC6AFC">
        <w:t>.</w:t>
      </w:r>
      <w:r w:rsidRPr="00CC6AFC">
        <w:t xml:space="preserve"> Il</w:t>
      </w:r>
      <w:r w:rsidRPr="000B19DC">
        <w:t xml:space="preserve"> ne peut</w:t>
      </w:r>
      <w:r w:rsidRPr="00E85775">
        <w:t xml:space="preserve"> prétendre ni à prolongation du délai d'exécution ni à indemnité.</w:t>
      </w:r>
    </w:p>
    <w:p w14:paraId="3A27C2FC" w14:textId="77777777" w:rsidR="00E85775" w:rsidRPr="00E85775" w:rsidRDefault="00E85775" w:rsidP="00C7548A"/>
    <w:p w14:paraId="2270064E" w14:textId="77777777" w:rsidR="00E85775" w:rsidRPr="00E85775" w:rsidRDefault="00E85775" w:rsidP="00C7548A">
      <w:pPr>
        <w:pStyle w:val="Titre6"/>
      </w:pPr>
      <w:bookmarkStart w:id="88" w:name="_Toc507666614"/>
      <w:bookmarkStart w:id="89" w:name="_Toc50109545"/>
      <w:r w:rsidRPr="00E85775">
        <w:t>6.2.4. Liens juridiques.</w:t>
      </w:r>
      <w:bookmarkEnd w:id="88"/>
      <w:bookmarkEnd w:id="89"/>
    </w:p>
    <w:p w14:paraId="3EAEA020" w14:textId="77777777" w:rsidR="00E85775" w:rsidRPr="00E85775" w:rsidRDefault="00E85775" w:rsidP="00C7548A"/>
    <w:p w14:paraId="4C41B188" w14:textId="77777777" w:rsidR="00E85775" w:rsidRPr="00E85775" w:rsidRDefault="00E85775" w:rsidP="00C7548A">
      <w:r w:rsidRPr="00E85775">
        <w:t xml:space="preserve">Le personnel du titulaire demeure à tous égards le salarié de ce dernier (législation du travail, sécurité au travail, congés payés, déplacements, </w:t>
      </w:r>
      <w:r w:rsidRPr="00AF7628">
        <w:rPr>
          <w:i/>
        </w:rPr>
        <w:t>etc.</w:t>
      </w:r>
      <w:r w:rsidRPr="00E85775">
        <w:t>).</w:t>
      </w:r>
    </w:p>
    <w:p w14:paraId="0F449A4E" w14:textId="77777777" w:rsidR="00E85775" w:rsidRPr="00E85775" w:rsidRDefault="00E85775" w:rsidP="00C7548A"/>
    <w:p w14:paraId="55E06B64" w14:textId="5A18EB30" w:rsidR="00E85775" w:rsidRDefault="00E85775" w:rsidP="00C7548A">
      <w:r w:rsidRPr="00E85775">
        <w:t xml:space="preserve">Aucun lien de subordination entre les employés du titulaire et la personne publique ne doit s'établir. </w:t>
      </w:r>
    </w:p>
    <w:p w14:paraId="1D84B8FE" w14:textId="1924C692" w:rsidR="00E85775" w:rsidRPr="00E85775" w:rsidRDefault="00E85775" w:rsidP="00C7548A"/>
    <w:p w14:paraId="07B99DB3" w14:textId="03AFC628" w:rsidR="00E85775" w:rsidRPr="000B19DC" w:rsidRDefault="00E85775" w:rsidP="000F7994">
      <w:pPr>
        <w:pStyle w:val="Titre2"/>
      </w:pPr>
      <w:bookmarkStart w:id="90" w:name="_Toc507666616"/>
      <w:bookmarkStart w:id="91" w:name="_Toc50109547"/>
      <w:bookmarkStart w:id="92" w:name="_Toc50113982"/>
      <w:bookmarkStart w:id="93" w:name="_Toc207979740"/>
      <w:r w:rsidRPr="000B19DC">
        <w:t>6.</w:t>
      </w:r>
      <w:r w:rsidR="00CC6AFC">
        <w:rPr>
          <w:lang w:val="fr-FR"/>
        </w:rPr>
        <w:t>3</w:t>
      </w:r>
      <w:r w:rsidRPr="000B19DC">
        <w:t>. Clauses environnementales.</w:t>
      </w:r>
      <w:bookmarkEnd w:id="90"/>
      <w:bookmarkEnd w:id="91"/>
      <w:bookmarkEnd w:id="92"/>
      <w:bookmarkEnd w:id="93"/>
    </w:p>
    <w:p w14:paraId="76E3A30E" w14:textId="77777777" w:rsidR="00E85775" w:rsidRPr="00E85775" w:rsidRDefault="00E85775" w:rsidP="00C7548A"/>
    <w:p w14:paraId="15F357C9" w14:textId="77777777" w:rsidR="006512C8" w:rsidRPr="00E85775" w:rsidRDefault="006512C8" w:rsidP="006512C8">
      <w:r>
        <w:t>Conformément à l'article 16</w:t>
      </w:r>
      <w:r w:rsidRPr="002419EF">
        <w:rPr>
          <w:color w:val="000000" w:themeColor="text1"/>
        </w:rPr>
        <w:t xml:space="preserve">.2 du CCAG/PI, le titulaire </w:t>
      </w:r>
      <w:r w:rsidRPr="00E85775">
        <w:t xml:space="preserve">s'engage à respecter les exigences législatives et règlementaires qui lui sont applicables à la date de signature </w:t>
      </w:r>
      <w:r>
        <w:t>de l’accord-cadre</w:t>
      </w:r>
      <w:r w:rsidRPr="00E85775">
        <w:t xml:space="preserve"> par ses soins.</w:t>
      </w:r>
    </w:p>
    <w:p w14:paraId="337B6BB3" w14:textId="77777777" w:rsidR="006512C8" w:rsidRDefault="006512C8" w:rsidP="006512C8"/>
    <w:p w14:paraId="20DF75EA" w14:textId="77777777" w:rsidR="006512C8" w:rsidRDefault="006512C8" w:rsidP="006512C8">
      <w: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37BB5B37" w14:textId="77777777" w:rsidR="006512C8" w:rsidRDefault="006512C8" w:rsidP="006512C8"/>
    <w:p w14:paraId="29A71237" w14:textId="77777777" w:rsidR="006512C8" w:rsidRDefault="006512C8" w:rsidP="006512C8">
      <w:r>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09729B87" w14:textId="77777777" w:rsidR="006512C8" w:rsidRDefault="006512C8" w:rsidP="006512C8"/>
    <w:p w14:paraId="0CC551D4" w14:textId="77777777" w:rsidR="006512C8" w:rsidRDefault="006512C8" w:rsidP="006512C8">
      <w:r>
        <w:t>Par ailleurs, comme stipulé à l’article 8 du présent document, les livrables font l’objet d’une transmission dématérialisée.</w:t>
      </w:r>
    </w:p>
    <w:p w14:paraId="08E0E5F2" w14:textId="77777777" w:rsidR="006512C8" w:rsidRDefault="006512C8" w:rsidP="006512C8"/>
    <w:p w14:paraId="36E223AC" w14:textId="77777777" w:rsidR="006512C8" w:rsidRDefault="006512C8" w:rsidP="006512C8">
      <w:r>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1C7F3E26" w14:textId="77777777" w:rsidR="006512C8" w:rsidRDefault="006512C8" w:rsidP="006512C8"/>
    <w:p w14:paraId="58800847" w14:textId="04309385" w:rsidR="00D22E1D" w:rsidRDefault="006512C8" w:rsidP="006512C8">
      <w:r>
        <w:t>Dans l’hypothèse où le titulaire est amené à assurer le transport des intervenants, la voie aérienne est autorisée lorsque le temps de trajet par la voie ferroviaire est supérieur à 4 heures. Dans les cas spécifiques où le trajet s’effectue dans une même journée, la voie aérienne est autorisée lorsque le temps total de trajet (aller-retour) par la voie ferroviaire est supérieur à 6 heures.</w:t>
      </w:r>
    </w:p>
    <w:p w14:paraId="5697FA54" w14:textId="4790D77A" w:rsidR="0086700A" w:rsidRDefault="0086700A" w:rsidP="006512C8"/>
    <w:p w14:paraId="1AA74674" w14:textId="6510D2C6" w:rsidR="0086700A" w:rsidRDefault="0086700A" w:rsidP="006512C8">
      <w:r w:rsidRPr="001746C0">
        <w:rPr>
          <w:rFonts w:cs="Arial"/>
        </w:rPr>
        <w:t>Dans l’hypothèse où le titulaire est amené à assurer des prestations de bouche, l’achat de plastique à usage unique est à proscrire. De plus, au moins 50 % des produits doivent être de qualité et durables, dont au moins 20% issus de l’agriculture biologique</w:t>
      </w:r>
      <w:r>
        <w:rPr>
          <w:rFonts w:cs="Arial"/>
        </w:rPr>
        <w:t>.</w:t>
      </w:r>
    </w:p>
    <w:p w14:paraId="6218CB74" w14:textId="58B21339" w:rsidR="007F13BA" w:rsidRPr="00E85775" w:rsidRDefault="007F13BA" w:rsidP="008003DF"/>
    <w:p w14:paraId="6C41FE0D" w14:textId="314EAA57" w:rsidR="00E85775" w:rsidRPr="00E85775" w:rsidRDefault="007F13BA" w:rsidP="000F7994">
      <w:pPr>
        <w:pStyle w:val="Titre2"/>
      </w:pPr>
      <w:bookmarkStart w:id="94" w:name="_Toc507666618"/>
      <w:bookmarkStart w:id="95" w:name="_Toc50109555"/>
      <w:bookmarkStart w:id="96" w:name="_Toc50113985"/>
      <w:bookmarkStart w:id="97" w:name="_Toc207979741"/>
      <w:r>
        <w:t>6.</w:t>
      </w:r>
      <w:r w:rsidR="00CA7F61">
        <w:rPr>
          <w:lang w:val="fr-FR"/>
        </w:rPr>
        <w:t>4</w:t>
      </w:r>
      <w:r w:rsidR="00E85775" w:rsidRPr="00E85775">
        <w:t>. Respect du droit du travail.</w:t>
      </w:r>
      <w:bookmarkEnd w:id="94"/>
      <w:bookmarkEnd w:id="95"/>
      <w:bookmarkEnd w:id="96"/>
      <w:bookmarkEnd w:id="97"/>
    </w:p>
    <w:p w14:paraId="3ABC1B8E" w14:textId="14C2E376" w:rsidR="00E85775" w:rsidRPr="00E85775" w:rsidRDefault="00E85775" w:rsidP="00C7548A"/>
    <w:p w14:paraId="5D79E08A" w14:textId="744938BB" w:rsidR="00E85775" w:rsidRDefault="00E85775" w:rsidP="00C7548A">
      <w:r w:rsidRPr="00E85775">
        <w:t xml:space="preserve">Le titulaire s'engage à respecter les obligations prévues par l'article </w:t>
      </w:r>
      <w:r w:rsidR="000F7994">
        <w:t>6 du CCAG/PI.</w:t>
      </w:r>
    </w:p>
    <w:p w14:paraId="06DA54E1" w14:textId="381258E4" w:rsidR="005D1089" w:rsidRDefault="005D1089" w:rsidP="00C7548A"/>
    <w:p w14:paraId="42658F62" w14:textId="74D362F0" w:rsidR="005D1089" w:rsidRPr="00FC5474" w:rsidRDefault="005B1CE1" w:rsidP="00FC5474">
      <w:pPr>
        <w:pStyle w:val="Titre2"/>
      </w:pPr>
      <w:bookmarkStart w:id="98" w:name="_Toc207979742"/>
      <w:r w:rsidRPr="00FC5474">
        <w:t>6.</w:t>
      </w:r>
      <w:r w:rsidR="00CA7F61">
        <w:rPr>
          <w:lang w:val="fr-FR"/>
        </w:rPr>
        <w:t>5</w:t>
      </w:r>
      <w:r w:rsidR="005D1089" w:rsidRPr="00FC5474">
        <w:t>. Modifications à caractère technique en cours d’exécution</w:t>
      </w:r>
      <w:bookmarkEnd w:id="98"/>
    </w:p>
    <w:p w14:paraId="0DB9A409" w14:textId="3201F028" w:rsidR="005B1CE1" w:rsidRDefault="005B1CE1" w:rsidP="005B1CE1"/>
    <w:p w14:paraId="1EE260F0" w14:textId="7216B289" w:rsidR="005B1CE1" w:rsidRDefault="005B1CE1" w:rsidP="005B1CE1">
      <w:r w:rsidRPr="00CC6AFC">
        <w:t xml:space="preserve">Le titulaire </w:t>
      </w:r>
      <w:r w:rsidR="00FC5474" w:rsidRPr="00CC6AFC">
        <w:t>de l’accord-cadre</w:t>
      </w:r>
      <w:r w:rsidRPr="00CC6AFC">
        <w:t xml:space="preserve"> ne doit apporter aucune modification aux spécifications techniques sans autorisation préalable de l’acheteur.</w:t>
      </w:r>
    </w:p>
    <w:p w14:paraId="27A7F2B0" w14:textId="6BCC2322" w:rsidR="00E85775" w:rsidRPr="00E85775" w:rsidRDefault="00E85775" w:rsidP="00C7548A"/>
    <w:p w14:paraId="71161AA2" w14:textId="70A30FBD" w:rsidR="00E85775" w:rsidRPr="00E85775" w:rsidRDefault="007F13BA" w:rsidP="000F7994">
      <w:pPr>
        <w:pStyle w:val="Titre2"/>
      </w:pPr>
      <w:bookmarkStart w:id="99" w:name="_Toc507666620"/>
      <w:bookmarkStart w:id="100" w:name="_Toc50109557"/>
      <w:bookmarkStart w:id="101" w:name="_Toc50113987"/>
      <w:bookmarkStart w:id="102" w:name="_Toc207979743"/>
      <w:r>
        <w:t>6.</w:t>
      </w:r>
      <w:r w:rsidR="00CA7F61">
        <w:rPr>
          <w:lang w:val="fr-FR"/>
        </w:rPr>
        <w:t>6</w:t>
      </w:r>
      <w:r w:rsidR="00E85775" w:rsidRPr="00E85775">
        <w:t xml:space="preserve">. Documents à produire en cours d'exécution </w:t>
      </w:r>
      <w:r w:rsidR="0037147F">
        <w:t>de l’accord-cadre</w:t>
      </w:r>
      <w:r w:rsidR="00E85775" w:rsidRPr="00E85775">
        <w:t>.</w:t>
      </w:r>
      <w:bookmarkEnd w:id="99"/>
      <w:bookmarkEnd w:id="100"/>
      <w:bookmarkEnd w:id="101"/>
      <w:bookmarkEnd w:id="102"/>
    </w:p>
    <w:p w14:paraId="7808AABD" w14:textId="656C77BE" w:rsidR="00E85775" w:rsidRPr="00E85775" w:rsidRDefault="00E85775" w:rsidP="00C7548A"/>
    <w:p w14:paraId="7F8B1875" w14:textId="156CC9A3" w:rsidR="00E85775" w:rsidRPr="00E85775" w:rsidRDefault="00E85775" w:rsidP="00C7548A">
      <w:pPr>
        <w:pStyle w:val="Titre6"/>
      </w:pPr>
      <w:bookmarkStart w:id="103" w:name="_Toc507666621"/>
      <w:bookmarkStart w:id="104" w:name="_Toc50109558"/>
      <w:r w:rsidRPr="00E85775">
        <w:t>6.</w:t>
      </w:r>
      <w:r w:rsidR="00CA7F61">
        <w:rPr>
          <w:lang w:val="fr-FR"/>
        </w:rPr>
        <w:t>6</w:t>
      </w:r>
      <w:r w:rsidRPr="00E85775">
        <w:t>.1. Titulaire établi en France.</w:t>
      </w:r>
      <w:bookmarkEnd w:id="103"/>
      <w:bookmarkEnd w:id="104"/>
    </w:p>
    <w:p w14:paraId="16362DD4" w14:textId="16862CF0" w:rsidR="00E85775" w:rsidRPr="00E85775" w:rsidRDefault="00E85775" w:rsidP="00C7548A"/>
    <w:p w14:paraId="3788D217" w14:textId="5FE7E9A6" w:rsidR="00E85775" w:rsidRPr="00E85775" w:rsidRDefault="00E85775" w:rsidP="00C7548A">
      <w:r w:rsidRPr="00E85775">
        <w:t>Conformément à l’article D</w:t>
      </w:r>
      <w:r w:rsidR="008E25F9">
        <w:t xml:space="preserve">. </w:t>
      </w:r>
      <w:r w:rsidRPr="00E85775">
        <w:t xml:space="preserve">8222-5 du code du travail, le titulaire s'engage à remettre tous les six mois et jusqu'à la fin de l’exécution </w:t>
      </w:r>
      <w:r w:rsidR="0037147F">
        <w:t>de l’accord-cadre</w:t>
      </w:r>
      <w:r w:rsidRPr="00E85775">
        <w:t xml:space="preserve"> :</w:t>
      </w:r>
    </w:p>
    <w:p w14:paraId="28205DEE" w14:textId="02E4ECE1" w:rsidR="00E85775" w:rsidRPr="00E85775" w:rsidRDefault="00E85775" w:rsidP="00E73B45">
      <w:pPr>
        <w:spacing w:before="60"/>
        <w:ind w:left="284" w:hanging="284"/>
      </w:pPr>
      <w:r w:rsidRPr="00D36A60">
        <w:t xml:space="preserve">1° </w:t>
      </w:r>
      <w:r w:rsidR="00847417">
        <w:tab/>
      </w:r>
      <w:r w:rsidRPr="00D36A60">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w:t>
      </w:r>
      <w:r w:rsidRPr="00E85775">
        <w:t xml:space="preserve"> de l'authenticité auprès de l'organisme de recouvrement des cotisations de sécurité sociale.</w:t>
      </w:r>
    </w:p>
    <w:p w14:paraId="7717C384" w14:textId="2F07E985" w:rsidR="00E85775" w:rsidRPr="00E85775" w:rsidRDefault="00E85775" w:rsidP="00E73B45">
      <w:pPr>
        <w:spacing w:before="60"/>
        <w:ind w:left="284" w:hanging="284"/>
      </w:pPr>
      <w:r w:rsidRPr="00E85775">
        <w:t xml:space="preserve">2° </w:t>
      </w:r>
      <w:r w:rsidR="00847417">
        <w:tab/>
      </w:r>
      <w:r w:rsidRPr="00E85775">
        <w:t>Lorsque l'immatriculation du cocontractant au registre du commerce et des sociétés ou au répertoire des métiers est obligatoire ou lorsqu'il s'agit d'une profession réglementée, l'un des documents suivants :</w:t>
      </w:r>
    </w:p>
    <w:p w14:paraId="67A4F8C5" w14:textId="6E0C15ED" w:rsidR="000031DB" w:rsidRDefault="008E25F9" w:rsidP="00E73B45">
      <w:pPr>
        <w:tabs>
          <w:tab w:val="left" w:pos="567"/>
        </w:tabs>
        <w:spacing w:before="60"/>
        <w:ind w:left="567" w:hanging="284"/>
      </w:pPr>
      <w:r>
        <w:t xml:space="preserve">a) </w:t>
      </w:r>
      <w:r w:rsidR="004F5166">
        <w:tab/>
      </w:r>
      <w:r w:rsidRPr="002B2542">
        <w:t xml:space="preserve">numéro unique d'identification prévu </w:t>
      </w:r>
      <w:r w:rsidR="00EF7408" w:rsidRPr="001746C0">
        <w:rPr>
          <w:rFonts w:cs="Arial"/>
        </w:rPr>
        <w:t>par l'article L. 123-34 du code du commerce</w:t>
      </w:r>
      <w:r w:rsidR="00EF7408" w:rsidRPr="002B2542">
        <w:t xml:space="preserve"> </w:t>
      </w:r>
      <w:r w:rsidRPr="002B2542">
        <w:t>et délivré par l'Institut national de la statistique et des études économiques</w:t>
      </w:r>
      <w:r>
        <w:t xml:space="preserve"> (INSEE)</w:t>
      </w:r>
      <w:r w:rsidRPr="002B2542">
        <w:t xml:space="preserve"> (numéro SIREN) du candidat et des membres du groupement d’opérateurs économiques</w:t>
      </w:r>
      <w:r>
        <w:t xml:space="preserve"> </w:t>
      </w:r>
      <w:r w:rsidRPr="00E85775">
        <w:t>;</w:t>
      </w:r>
    </w:p>
    <w:p w14:paraId="5495EFE3" w14:textId="5EFA043C" w:rsidR="00E85775" w:rsidRPr="00E85775" w:rsidRDefault="008E25F9" w:rsidP="00E73B45">
      <w:pPr>
        <w:tabs>
          <w:tab w:val="left" w:pos="567"/>
        </w:tabs>
        <w:spacing w:before="60"/>
        <w:ind w:left="567" w:hanging="284"/>
      </w:pPr>
      <w:r>
        <w:t>b</w:t>
      </w:r>
      <w:r w:rsidR="00E85775" w:rsidRPr="00E85775">
        <w:t xml:space="preserve">) </w:t>
      </w:r>
      <w:r w:rsidR="004F5166">
        <w:tab/>
      </w:r>
      <w:r w:rsidR="00E85775" w:rsidRPr="00E85775">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1720BD25" w14:textId="304EE145" w:rsidR="00E85775" w:rsidRPr="00E85775" w:rsidRDefault="008E25F9" w:rsidP="00E73B45">
      <w:pPr>
        <w:tabs>
          <w:tab w:val="left" w:pos="567"/>
        </w:tabs>
        <w:spacing w:before="60"/>
        <w:ind w:left="567" w:hanging="284"/>
      </w:pPr>
      <w:r>
        <w:t>c</w:t>
      </w:r>
      <w:r w:rsidR="00E85775" w:rsidRPr="00E85775">
        <w:t xml:space="preserve">) </w:t>
      </w:r>
      <w:r w:rsidR="004F5166">
        <w:tab/>
      </w:r>
      <w:r w:rsidR="00E85775" w:rsidRPr="00E85775">
        <w:t>un récépissé du dépôt de déclaration auprès d'un centre de formalités des entreprises pour les personnes en cours d'inscription.</w:t>
      </w:r>
    </w:p>
    <w:p w14:paraId="5E04FA93" w14:textId="77777777" w:rsidR="00E85775" w:rsidRPr="00E85775" w:rsidRDefault="00E85775" w:rsidP="00C7548A"/>
    <w:p w14:paraId="000DB3D8" w14:textId="73D42243" w:rsidR="00E85775" w:rsidRPr="00E85775" w:rsidRDefault="00E85775" w:rsidP="00C7548A">
      <w:pPr>
        <w:pStyle w:val="Titre6"/>
      </w:pPr>
      <w:bookmarkStart w:id="105" w:name="_Toc507666622"/>
      <w:bookmarkStart w:id="106" w:name="_Toc50109559"/>
      <w:r w:rsidRPr="00E85775">
        <w:t>6.</w:t>
      </w:r>
      <w:r w:rsidR="00CA7F61">
        <w:rPr>
          <w:lang w:val="fr-FR"/>
        </w:rPr>
        <w:t>6</w:t>
      </w:r>
      <w:r w:rsidRPr="00E85775">
        <w:t>.2. Titulaire établi à l’étranger.</w:t>
      </w:r>
      <w:bookmarkEnd w:id="105"/>
      <w:bookmarkEnd w:id="106"/>
    </w:p>
    <w:p w14:paraId="28B9222A" w14:textId="77777777" w:rsidR="00E85775" w:rsidRPr="00E85775" w:rsidRDefault="00E85775" w:rsidP="00C7548A"/>
    <w:p w14:paraId="61605DAE" w14:textId="6DC3A642" w:rsidR="00E85775" w:rsidRPr="00E85775" w:rsidRDefault="00E85775" w:rsidP="00C7548A">
      <w:r w:rsidRPr="00E85775">
        <w:t>Conformément à l’article D</w:t>
      </w:r>
      <w:r w:rsidR="008E25F9">
        <w:t xml:space="preserve">. </w:t>
      </w:r>
      <w:r w:rsidRPr="00E85775">
        <w:t xml:space="preserve">8222-7 du code du travail, le titulaire s’engage à remettre tous les six mois et jusqu'à la fin de l’exécution </w:t>
      </w:r>
      <w:r w:rsidR="0037147F">
        <w:t>de l’accord-cadre</w:t>
      </w:r>
      <w:r w:rsidRPr="00E85775">
        <w:t xml:space="preserve"> :</w:t>
      </w:r>
    </w:p>
    <w:p w14:paraId="3C7379BB" w14:textId="3490DD16" w:rsidR="00E85775" w:rsidRPr="00E85775" w:rsidRDefault="00E85775" w:rsidP="009F0863">
      <w:pPr>
        <w:tabs>
          <w:tab w:val="left" w:pos="284"/>
        </w:tabs>
        <w:spacing w:before="60"/>
      </w:pPr>
      <w:r w:rsidRPr="00E85775">
        <w:t xml:space="preserve">1° </w:t>
      </w:r>
      <w:r w:rsidR="009F0863">
        <w:tab/>
      </w:r>
      <w:r w:rsidRPr="00E85775">
        <w:t>Dans tous les cas, les documents suivants :</w:t>
      </w:r>
    </w:p>
    <w:p w14:paraId="3511CCC2" w14:textId="50170459" w:rsidR="00E85775" w:rsidRPr="00E85775" w:rsidRDefault="00E85775" w:rsidP="00E73B45">
      <w:pPr>
        <w:tabs>
          <w:tab w:val="left" w:pos="567"/>
        </w:tabs>
        <w:spacing w:before="60"/>
        <w:ind w:left="567" w:hanging="284"/>
      </w:pPr>
      <w:r w:rsidRPr="00E85775">
        <w:t xml:space="preserve">a) </w:t>
      </w:r>
      <w:r w:rsidR="00F40259">
        <w:tab/>
      </w:r>
      <w:r w:rsidRPr="00E85775">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w:t>
      </w:r>
      <w:r w:rsidR="002862BD">
        <w:t>France </w:t>
      </w:r>
      <w:r w:rsidR="002862BD" w:rsidRPr="00E85775">
        <w:t>;</w:t>
      </w:r>
    </w:p>
    <w:p w14:paraId="06E8EF71" w14:textId="71AB444E" w:rsidR="00E85775" w:rsidRPr="00E85775" w:rsidRDefault="00E85775" w:rsidP="00E73B45">
      <w:pPr>
        <w:tabs>
          <w:tab w:val="left" w:pos="567"/>
        </w:tabs>
        <w:spacing w:before="60"/>
        <w:ind w:left="567" w:hanging="284"/>
      </w:pPr>
      <w:r w:rsidRPr="00E85775">
        <w:lastRenderedPageBreak/>
        <w:t xml:space="preserve">b) </w:t>
      </w:r>
      <w:r w:rsidR="00F40259">
        <w:tab/>
      </w:r>
      <w:r w:rsidRPr="00E85775">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140D8DC6" w14:textId="37F00A6E" w:rsidR="00E85775" w:rsidRDefault="00E85775" w:rsidP="009F0863">
      <w:pPr>
        <w:spacing w:before="60"/>
        <w:ind w:left="284" w:hanging="284"/>
      </w:pPr>
      <w:r w:rsidRPr="00E85775">
        <w:t xml:space="preserve">2° </w:t>
      </w:r>
      <w:r w:rsidR="009F0863">
        <w:tab/>
      </w:r>
      <w:r w:rsidRPr="00E85775">
        <w:t>Lorsque l'immatriculation du cocontractant à un registre professionnel est obligatoire dans le pays d'établissement ou de domiciliation, l'un des documents suivants :</w:t>
      </w:r>
    </w:p>
    <w:p w14:paraId="6704A9DD" w14:textId="00A8C381" w:rsidR="00E85775" w:rsidRPr="00E85775" w:rsidRDefault="00E85775" w:rsidP="00E73B45">
      <w:pPr>
        <w:tabs>
          <w:tab w:val="left" w:pos="567"/>
        </w:tabs>
        <w:spacing w:before="60"/>
        <w:ind w:left="567" w:hanging="284"/>
      </w:pPr>
      <w:r w:rsidRPr="00E85775">
        <w:t xml:space="preserve">a) </w:t>
      </w:r>
      <w:r w:rsidR="00F40259">
        <w:tab/>
      </w:r>
      <w:r w:rsidRPr="00E85775">
        <w:t>Un document émanant des autorités tenant le registre professionnel ou un document équivalent certifiant cette inscription ;</w:t>
      </w:r>
    </w:p>
    <w:p w14:paraId="38F56152" w14:textId="40AD1199" w:rsidR="00E85775" w:rsidRPr="00E85775" w:rsidRDefault="00E85775" w:rsidP="00E73B45">
      <w:pPr>
        <w:tabs>
          <w:tab w:val="left" w:pos="567"/>
        </w:tabs>
        <w:spacing w:before="60"/>
        <w:ind w:left="567" w:hanging="284"/>
      </w:pPr>
      <w:r w:rsidRPr="00E85775">
        <w:t xml:space="preserve">b) </w:t>
      </w:r>
      <w:r w:rsidR="00F40259">
        <w:tab/>
      </w:r>
      <w:r w:rsidRPr="00E85775">
        <w:t>un devis, un document publicitaire ou une correspondance professionnelle, à condition qu'y soient mentionnés le nom ou la dénomination sociale, l'adresse complète et la nature de l'inscription au registre professionnel ;</w:t>
      </w:r>
    </w:p>
    <w:p w14:paraId="38A35F0E" w14:textId="40EAF28F" w:rsidR="00E85775" w:rsidRPr="00E85775" w:rsidRDefault="00E85775" w:rsidP="00E73B45">
      <w:pPr>
        <w:tabs>
          <w:tab w:val="left" w:pos="567"/>
        </w:tabs>
        <w:spacing w:before="60"/>
        <w:ind w:left="567" w:hanging="284"/>
      </w:pPr>
      <w:r w:rsidRPr="00E85775">
        <w:t xml:space="preserve">c) </w:t>
      </w:r>
      <w:r w:rsidR="00F40259">
        <w:tab/>
      </w:r>
      <w:r w:rsidRPr="00E85775">
        <w:t>pour les entreprises en cours de création, un document datant de moins de six mois émanant de l'autorité habilitée à recevoir l'inscription au registre professionnel et attestant de la demande d'immatriculation audit registre.</w:t>
      </w:r>
    </w:p>
    <w:p w14:paraId="6E8274E0" w14:textId="77777777" w:rsidR="00E85775" w:rsidRPr="00E85775" w:rsidRDefault="00E85775" w:rsidP="00C7548A"/>
    <w:p w14:paraId="1DCA9895" w14:textId="77777777" w:rsidR="00E85775" w:rsidRPr="00E85775" w:rsidRDefault="00E85775" w:rsidP="00C7548A">
      <w:r w:rsidRPr="00E85775">
        <w:t>Les documents et attestations énumérés supra sont rédigés en langue française ou accompagnés d'une traduction en langue française.</w:t>
      </w:r>
    </w:p>
    <w:p w14:paraId="004C527E" w14:textId="77777777" w:rsidR="00E85775" w:rsidRPr="00E85775" w:rsidRDefault="00E85775" w:rsidP="00C7548A"/>
    <w:p w14:paraId="0B054E65" w14:textId="4B021464" w:rsidR="006512C8" w:rsidRPr="00E85775" w:rsidRDefault="006512C8" w:rsidP="006512C8">
      <w:pPr>
        <w:pStyle w:val="Titre2"/>
      </w:pPr>
      <w:bookmarkStart w:id="107" w:name="_Toc507666623"/>
      <w:bookmarkStart w:id="108" w:name="_Toc50109560"/>
      <w:bookmarkStart w:id="109" w:name="_Toc50113988"/>
      <w:bookmarkStart w:id="110" w:name="_Toc94020948"/>
      <w:bookmarkStart w:id="111" w:name="_Toc207979744"/>
      <w:r w:rsidRPr="00E85775">
        <w:t>6.</w:t>
      </w:r>
      <w:r w:rsidR="00CA7F61">
        <w:rPr>
          <w:lang w:val="fr-FR"/>
        </w:rPr>
        <w:t>7</w:t>
      </w:r>
      <w:r w:rsidRPr="00E85775">
        <w:t>. Droits de propriété / utilisation des résultats / Concession du droit d'usage.</w:t>
      </w:r>
      <w:bookmarkEnd w:id="107"/>
      <w:bookmarkEnd w:id="108"/>
      <w:bookmarkEnd w:id="109"/>
      <w:bookmarkEnd w:id="110"/>
      <w:bookmarkEnd w:id="111"/>
    </w:p>
    <w:p w14:paraId="659D2905" w14:textId="77777777" w:rsidR="006512C8" w:rsidRPr="00CA5C64" w:rsidRDefault="006512C8" w:rsidP="006512C8">
      <w:pPr>
        <w:rPr>
          <w:rStyle w:val="Emphaseintense"/>
          <w:i w:val="0"/>
          <w:color w:val="0070C0"/>
        </w:rPr>
      </w:pPr>
    </w:p>
    <w:p w14:paraId="593B931A" w14:textId="14509C2F" w:rsidR="006512C8" w:rsidRPr="00F062E5" w:rsidRDefault="006512C8" w:rsidP="006512C8">
      <w:pPr>
        <w:pStyle w:val="Titre6"/>
        <w:rPr>
          <w:rFonts w:eastAsia="Times"/>
          <w:lang w:eastAsia="fr-FR"/>
        </w:rPr>
      </w:pPr>
      <w:bookmarkStart w:id="112" w:name="_Toc94020949"/>
      <w:r>
        <w:t>6.</w:t>
      </w:r>
      <w:r w:rsidR="00CA7F61">
        <w:rPr>
          <w:lang w:val="fr-FR"/>
        </w:rPr>
        <w:t>7</w:t>
      </w:r>
      <w:r>
        <w:t xml:space="preserve">.1 </w:t>
      </w:r>
      <w:r w:rsidRPr="002419EF">
        <w:rPr>
          <w:color w:val="000000" w:themeColor="text1"/>
        </w:rPr>
        <w:t>Application du CCAG/PI</w:t>
      </w:r>
      <w:bookmarkEnd w:id="112"/>
      <w:r w:rsidRPr="002419EF">
        <w:rPr>
          <w:color w:val="000000" w:themeColor="text1"/>
        </w:rPr>
        <w:t xml:space="preserve"> </w:t>
      </w:r>
    </w:p>
    <w:p w14:paraId="5D872562" w14:textId="77777777" w:rsidR="006512C8" w:rsidRPr="00F062E5" w:rsidRDefault="006512C8" w:rsidP="006512C8">
      <w:pPr>
        <w:autoSpaceDE w:val="0"/>
        <w:autoSpaceDN w:val="0"/>
        <w:adjustRightInd w:val="0"/>
        <w:rPr>
          <w:rFonts w:cs="Arial"/>
          <w:color w:val="000000"/>
        </w:rPr>
      </w:pPr>
    </w:p>
    <w:p w14:paraId="24B211BF" w14:textId="77777777" w:rsidR="006512C8" w:rsidRPr="00F062E5" w:rsidRDefault="006512C8" w:rsidP="006512C8">
      <w:pPr>
        <w:autoSpaceDE w:val="0"/>
        <w:autoSpaceDN w:val="0"/>
        <w:adjustRightInd w:val="0"/>
        <w:rPr>
          <w:rFonts w:cs="Arial"/>
          <w:color w:val="000000"/>
        </w:rPr>
      </w:pPr>
      <w:r w:rsidRPr="00F062E5">
        <w:rPr>
          <w:rFonts w:cs="Arial"/>
          <w:color w:val="000000"/>
        </w:rPr>
        <w:t xml:space="preserve">Les dispositions </w:t>
      </w:r>
      <w:r>
        <w:rPr>
          <w:rFonts w:cs="Arial"/>
          <w:color w:val="000000"/>
        </w:rPr>
        <w:t xml:space="preserve">du chapitre </w:t>
      </w:r>
      <w:r w:rsidRPr="002419EF">
        <w:rPr>
          <w:rFonts w:cs="Arial"/>
          <w:color w:val="000000" w:themeColor="text1"/>
        </w:rPr>
        <w:t xml:space="preserve">6 du CCAG/PI sont applicables </w:t>
      </w:r>
      <w:r w:rsidRPr="00F062E5">
        <w:rPr>
          <w:rFonts w:cs="Arial"/>
          <w:color w:val="000000"/>
        </w:rPr>
        <w:t xml:space="preserve">et font parties intégrantes </w:t>
      </w:r>
      <w:r>
        <w:rPr>
          <w:rFonts w:cs="Arial"/>
          <w:color w:val="000000"/>
        </w:rPr>
        <w:t>de l’accord-cadre</w:t>
      </w:r>
      <w:r w:rsidRPr="00F062E5">
        <w:rPr>
          <w:rFonts w:cs="Arial"/>
          <w:color w:val="000000"/>
        </w:rPr>
        <w:t>.</w:t>
      </w:r>
    </w:p>
    <w:p w14:paraId="5E5F8A80" w14:textId="77777777" w:rsidR="006512C8" w:rsidRDefault="006512C8" w:rsidP="006512C8">
      <w:pPr>
        <w:rPr>
          <w:rStyle w:val="Emphaseintense"/>
          <w:i w:val="0"/>
          <w:color w:val="0070C0"/>
        </w:rPr>
      </w:pPr>
    </w:p>
    <w:p w14:paraId="12514099" w14:textId="626950BD" w:rsidR="006512C8" w:rsidRPr="001739E4" w:rsidRDefault="006512C8" w:rsidP="006512C8">
      <w:pPr>
        <w:pStyle w:val="Titre6"/>
      </w:pPr>
      <w:bookmarkStart w:id="113" w:name="_Toc94020950"/>
      <w:r>
        <w:t>6.</w:t>
      </w:r>
      <w:r w:rsidR="00CA7F61">
        <w:rPr>
          <w:lang w:val="fr-FR"/>
        </w:rPr>
        <w:t>7</w:t>
      </w:r>
      <w:r>
        <w:t>.2</w:t>
      </w:r>
      <w:r w:rsidRPr="001739E4">
        <w:t xml:space="preserve"> Objet de la cession</w:t>
      </w:r>
      <w:bookmarkEnd w:id="113"/>
    </w:p>
    <w:p w14:paraId="5227D6DE" w14:textId="77777777" w:rsidR="006512C8" w:rsidRPr="006E2494" w:rsidRDefault="006512C8" w:rsidP="006512C8">
      <w:pPr>
        <w:autoSpaceDE w:val="0"/>
        <w:autoSpaceDN w:val="0"/>
        <w:adjustRightInd w:val="0"/>
        <w:rPr>
          <w:rFonts w:cs="Arial"/>
          <w:color w:val="000000"/>
        </w:rPr>
      </w:pPr>
    </w:p>
    <w:p w14:paraId="5D6ADFB5" w14:textId="77777777" w:rsidR="006512C8" w:rsidRPr="00F062E5" w:rsidRDefault="006512C8" w:rsidP="006512C8">
      <w:pPr>
        <w:autoSpaceDE w:val="0"/>
        <w:autoSpaceDN w:val="0"/>
        <w:adjustRightInd w:val="0"/>
        <w:rPr>
          <w:rFonts w:cs="Arial"/>
          <w:color w:val="000000"/>
        </w:rPr>
      </w:pPr>
      <w:r>
        <w:rPr>
          <w:rFonts w:cs="Arial"/>
          <w:color w:val="000000"/>
        </w:rPr>
        <w:t xml:space="preserve">Par </w:t>
      </w:r>
      <w:r w:rsidRPr="002419EF">
        <w:rPr>
          <w:rFonts w:cs="Arial"/>
          <w:color w:val="000000" w:themeColor="text1"/>
        </w:rPr>
        <w:t xml:space="preserve">dérogation à l’article 35 du CCAG/PI, le titulaire </w:t>
      </w:r>
      <w:r>
        <w:rPr>
          <w:rFonts w:cs="Arial"/>
          <w:color w:val="000000"/>
        </w:rPr>
        <w:t>de l’accord-cadre cède à titre exclusif à l’acheteur</w:t>
      </w:r>
      <w:r w:rsidRPr="00F062E5">
        <w:rPr>
          <w:rFonts w:cs="Arial"/>
          <w:color w:val="000000"/>
        </w:rPr>
        <w:t xml:space="preserve">, conformément à l’article L. 131-3 du code de la propriété intellectuelle, l’intégralité des droits d’auteur sur les résultats, objet </w:t>
      </w:r>
      <w:r>
        <w:rPr>
          <w:rFonts w:cs="Arial"/>
          <w:color w:val="000000"/>
        </w:rPr>
        <w:t>de l’accord-cadre</w:t>
      </w:r>
      <w:r w:rsidRPr="00F062E5">
        <w:rPr>
          <w:rFonts w:cs="Arial"/>
          <w:color w:val="000000"/>
        </w:rPr>
        <w:t>.</w:t>
      </w:r>
    </w:p>
    <w:p w14:paraId="68151385" w14:textId="77777777" w:rsidR="006512C8" w:rsidRPr="006E2494" w:rsidRDefault="006512C8" w:rsidP="006512C8">
      <w:pPr>
        <w:autoSpaceDE w:val="0"/>
        <w:autoSpaceDN w:val="0"/>
        <w:adjustRightInd w:val="0"/>
        <w:rPr>
          <w:rFonts w:cs="Arial"/>
          <w:color w:val="000000"/>
        </w:rPr>
      </w:pPr>
    </w:p>
    <w:p w14:paraId="0B9ABD52" w14:textId="18BF93D4" w:rsidR="006512C8" w:rsidRPr="00390352" w:rsidRDefault="006512C8" w:rsidP="006512C8">
      <w:pPr>
        <w:pStyle w:val="Titre6"/>
        <w:rPr>
          <w:lang w:val="fr-FR"/>
        </w:rPr>
      </w:pPr>
      <w:bookmarkStart w:id="114" w:name="_Toc94020951"/>
      <w:r>
        <w:t>6.</w:t>
      </w:r>
      <w:r w:rsidR="00CA7F61">
        <w:rPr>
          <w:lang w:val="fr-FR"/>
        </w:rPr>
        <w:t>7</w:t>
      </w:r>
      <w:r>
        <w:t>.3</w:t>
      </w:r>
      <w:r w:rsidRPr="001739E4">
        <w:t xml:space="preserve"> Droits cédés </w:t>
      </w:r>
      <w:r>
        <w:rPr>
          <w:lang w:val="fr-FR"/>
        </w:rPr>
        <w:t>à l’acheteur</w:t>
      </w:r>
      <w:bookmarkEnd w:id="114"/>
    </w:p>
    <w:p w14:paraId="4A5DAAC3" w14:textId="77777777" w:rsidR="006512C8" w:rsidRPr="001739E4" w:rsidRDefault="006512C8" w:rsidP="006512C8">
      <w:pPr>
        <w:autoSpaceDE w:val="0"/>
        <w:autoSpaceDN w:val="0"/>
        <w:adjustRightInd w:val="0"/>
        <w:rPr>
          <w:rFonts w:cs="Arial"/>
          <w:bCs/>
          <w:color w:val="000000"/>
        </w:rPr>
      </w:pPr>
    </w:p>
    <w:p w14:paraId="066CC89F" w14:textId="663EBC63" w:rsidR="006512C8" w:rsidRPr="00CB46F0" w:rsidRDefault="006512C8" w:rsidP="006512C8">
      <w:pPr>
        <w:autoSpaceDE w:val="0"/>
        <w:autoSpaceDN w:val="0"/>
        <w:adjustRightInd w:val="0"/>
        <w:rPr>
          <w:rFonts w:cs="Arial"/>
          <w:b/>
          <w:bCs/>
          <w:color w:val="000000"/>
        </w:rPr>
      </w:pPr>
      <w:r w:rsidRPr="00CB46F0">
        <w:rPr>
          <w:rFonts w:cs="Arial"/>
          <w:b/>
          <w:bCs/>
          <w:color w:val="000000"/>
        </w:rPr>
        <w:t>6.</w:t>
      </w:r>
      <w:r w:rsidR="00CA7F61">
        <w:rPr>
          <w:b/>
        </w:rPr>
        <w:t>7</w:t>
      </w:r>
      <w:r w:rsidRPr="00CB46F0">
        <w:rPr>
          <w:rFonts w:cs="Arial"/>
          <w:b/>
          <w:bCs/>
          <w:color w:val="000000"/>
        </w:rPr>
        <w:t>.3.1 Étendue des droits cédés</w:t>
      </w:r>
    </w:p>
    <w:p w14:paraId="16591DB5" w14:textId="77777777" w:rsidR="006512C8" w:rsidRPr="006E2494" w:rsidRDefault="006512C8" w:rsidP="006512C8">
      <w:pPr>
        <w:autoSpaceDE w:val="0"/>
        <w:autoSpaceDN w:val="0"/>
        <w:adjustRightInd w:val="0"/>
        <w:rPr>
          <w:rFonts w:cs="Arial"/>
          <w:color w:val="000000"/>
        </w:rPr>
      </w:pPr>
    </w:p>
    <w:p w14:paraId="73D56717" w14:textId="77777777" w:rsidR="006512C8" w:rsidRPr="00F062E5" w:rsidRDefault="006512C8" w:rsidP="006512C8">
      <w:pPr>
        <w:autoSpaceDE w:val="0"/>
        <w:autoSpaceDN w:val="0"/>
        <w:adjustRightInd w:val="0"/>
        <w:rPr>
          <w:rFonts w:cs="Arial"/>
          <w:color w:val="000000"/>
        </w:rPr>
      </w:pPr>
      <w:r w:rsidRPr="00F062E5">
        <w:rPr>
          <w:rFonts w:cs="Arial"/>
          <w:color w:val="000000"/>
        </w:rPr>
        <w:t xml:space="preserve">Le titulaire </w:t>
      </w:r>
      <w:r>
        <w:rPr>
          <w:rFonts w:cs="Arial"/>
          <w:color w:val="000000"/>
        </w:rPr>
        <w:t>de l’accord-cadre</w:t>
      </w:r>
      <w:r w:rsidRPr="00F062E5">
        <w:rPr>
          <w:rFonts w:cs="Arial"/>
          <w:color w:val="000000"/>
        </w:rPr>
        <w:t xml:space="preserve"> cède </w:t>
      </w:r>
      <w:r>
        <w:rPr>
          <w:rFonts w:cs="Arial"/>
          <w:color w:val="000000"/>
        </w:rPr>
        <w:t>à l’acheteur</w:t>
      </w:r>
      <w:r w:rsidRPr="00F062E5">
        <w:rPr>
          <w:rFonts w:cs="Arial"/>
          <w:color w:val="000000"/>
        </w:rPr>
        <w:t xml:space="preserve"> les droits d'exploitation afférents aux résultats </w:t>
      </w:r>
      <w:r>
        <w:rPr>
          <w:rFonts w:cs="Arial"/>
          <w:color w:val="000000"/>
        </w:rPr>
        <w:t>de l’accord-cadre</w:t>
      </w:r>
      <w:r w:rsidRPr="00F062E5">
        <w:rPr>
          <w:rFonts w:cs="Arial"/>
          <w:color w:val="000000"/>
        </w:rPr>
        <w:t>,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5CE0E25A"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 xml:space="preserve">Le titulaire cède </w:t>
      </w:r>
      <w:r>
        <w:rPr>
          <w:rFonts w:cs="Arial"/>
          <w:color w:val="000000"/>
        </w:rPr>
        <w:t>à l’acheteur</w:t>
      </w:r>
      <w:r w:rsidRPr="00F062E5">
        <w:rPr>
          <w:rFonts w:cs="Arial"/>
          <w:color w:val="000000"/>
        </w:rPr>
        <w:t xml:space="preserve"> le droit de reproduire, représenter, communiquer, adapter, modifier, arranger, et exploiter notamment par voie de sous-cession les livrables requis, en tout ou en partie.</w:t>
      </w:r>
    </w:p>
    <w:p w14:paraId="3A58806B"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 xml:space="preserve">Le prix de la cession des droits de propriété intellectuelle est inclus dans le prix </w:t>
      </w:r>
      <w:r>
        <w:rPr>
          <w:rFonts w:cs="Arial"/>
          <w:color w:val="000000"/>
        </w:rPr>
        <w:t>de l’accord-cadre</w:t>
      </w:r>
      <w:r w:rsidRPr="00F062E5">
        <w:rPr>
          <w:rFonts w:cs="Arial"/>
          <w:color w:val="000000"/>
        </w:rPr>
        <w:t>.</w:t>
      </w:r>
    </w:p>
    <w:p w14:paraId="70436E06"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Les connaissances antérieures</w:t>
      </w:r>
      <w:r>
        <w:rPr>
          <w:rFonts w:cs="Arial"/>
          <w:color w:val="000000"/>
        </w:rPr>
        <w:t xml:space="preserve"> et les connaissances antérieures </w:t>
      </w:r>
      <w:r w:rsidRPr="002419EF">
        <w:rPr>
          <w:rFonts w:cs="Arial"/>
          <w:color w:val="000000" w:themeColor="text1"/>
        </w:rPr>
        <w:t xml:space="preserve">standard sont définies à l’article 32 du CCAG/PI. Le régime juridique qui leur est applicable est stipulé aux articles 33 et 34 du CCAG/PI.  </w:t>
      </w:r>
    </w:p>
    <w:p w14:paraId="4E518C90" w14:textId="4225AD65" w:rsidR="00DA12E4" w:rsidRDefault="006512C8" w:rsidP="006512C8">
      <w:pPr>
        <w:autoSpaceDE w:val="0"/>
        <w:autoSpaceDN w:val="0"/>
        <w:adjustRightInd w:val="0"/>
        <w:rPr>
          <w:rFonts w:cs="Arial"/>
          <w:color w:val="33339A"/>
        </w:rPr>
      </w:pPr>
      <w:r w:rsidRPr="00F062E5">
        <w:rPr>
          <w:rFonts w:cs="Arial"/>
          <w:color w:val="000000"/>
        </w:rPr>
        <w:t xml:space="preserve">Le titulaire garantit </w:t>
      </w:r>
      <w:r>
        <w:rPr>
          <w:rFonts w:cs="Arial"/>
          <w:color w:val="000000"/>
        </w:rPr>
        <w:t>à l’acheteur</w:t>
      </w:r>
      <w:r w:rsidRPr="00F062E5">
        <w:rPr>
          <w:rFonts w:cs="Arial"/>
          <w:color w:val="000000"/>
        </w:rPr>
        <w:t xml:space="preserve"> qu’il détient les droits sur les connaissances antérieures détenues par des tiers et nécessaires aux prestations. </w:t>
      </w:r>
      <w:r>
        <w:rPr>
          <w:rFonts w:cs="Arial"/>
          <w:color w:val="000000"/>
        </w:rPr>
        <w:t>L’acheteur</w:t>
      </w:r>
      <w:r w:rsidRPr="00F062E5">
        <w:rPr>
          <w:rFonts w:cs="Arial"/>
          <w:color w:val="000000"/>
        </w:rPr>
        <w:t xml:space="preserve"> peut lui demander les justificatifs à tout moment. Le coût des connaissances antérieures est inclus dans le prix </w:t>
      </w:r>
      <w:r>
        <w:rPr>
          <w:rFonts w:cs="Arial"/>
          <w:color w:val="000000"/>
        </w:rPr>
        <w:t>de l’accord-cadre</w:t>
      </w:r>
      <w:r w:rsidRPr="00F062E5">
        <w:rPr>
          <w:rFonts w:cs="Arial"/>
          <w:color w:val="000000"/>
        </w:rPr>
        <w:t>.</w:t>
      </w:r>
    </w:p>
    <w:p w14:paraId="363E07E2" w14:textId="77777777" w:rsidR="00DA12E4" w:rsidRPr="006E2494" w:rsidRDefault="00DA12E4" w:rsidP="006512C8">
      <w:pPr>
        <w:autoSpaceDE w:val="0"/>
        <w:autoSpaceDN w:val="0"/>
        <w:adjustRightInd w:val="0"/>
        <w:rPr>
          <w:rFonts w:cs="Arial"/>
          <w:color w:val="33339A"/>
        </w:rPr>
      </w:pPr>
    </w:p>
    <w:p w14:paraId="02A487A6" w14:textId="39C1CBD1" w:rsidR="006512C8" w:rsidRPr="004A4774" w:rsidRDefault="006512C8" w:rsidP="006512C8">
      <w:pPr>
        <w:autoSpaceDE w:val="0"/>
        <w:autoSpaceDN w:val="0"/>
        <w:adjustRightInd w:val="0"/>
        <w:rPr>
          <w:rFonts w:cs="Arial"/>
          <w:b/>
          <w:bCs/>
          <w:color w:val="000000"/>
        </w:rPr>
      </w:pPr>
      <w:r w:rsidRPr="004A4774">
        <w:rPr>
          <w:rFonts w:cs="Arial"/>
          <w:b/>
          <w:bCs/>
          <w:color w:val="000000"/>
        </w:rPr>
        <w:t>6.</w:t>
      </w:r>
      <w:r w:rsidR="00CA7F61">
        <w:rPr>
          <w:b/>
        </w:rPr>
        <w:t>7</w:t>
      </w:r>
      <w:r w:rsidRPr="004A4774">
        <w:rPr>
          <w:rFonts w:cs="Arial"/>
          <w:b/>
          <w:bCs/>
          <w:color w:val="000000"/>
        </w:rPr>
        <w:t>.3.2 Droits objets de la présente cession</w:t>
      </w:r>
    </w:p>
    <w:p w14:paraId="7CF491E4" w14:textId="77777777" w:rsidR="006512C8" w:rsidRPr="006E2494" w:rsidRDefault="006512C8" w:rsidP="006512C8">
      <w:pPr>
        <w:autoSpaceDE w:val="0"/>
        <w:autoSpaceDN w:val="0"/>
        <w:adjustRightInd w:val="0"/>
        <w:rPr>
          <w:rFonts w:cs="Arial"/>
          <w:b/>
          <w:bCs/>
          <w:color w:val="000000"/>
        </w:rPr>
      </w:pPr>
    </w:p>
    <w:p w14:paraId="4D8DC693" w14:textId="77777777" w:rsidR="006512C8" w:rsidRPr="006E2494" w:rsidRDefault="006512C8" w:rsidP="006512C8">
      <w:pPr>
        <w:autoSpaceDE w:val="0"/>
        <w:autoSpaceDN w:val="0"/>
        <w:adjustRightInd w:val="0"/>
        <w:rPr>
          <w:rFonts w:cs="Arial"/>
          <w:color w:val="000000"/>
        </w:rPr>
      </w:pPr>
      <w:r w:rsidRPr="006E2494">
        <w:rPr>
          <w:rFonts w:cs="Arial"/>
          <w:b/>
          <w:bCs/>
          <w:color w:val="000000"/>
        </w:rPr>
        <w:t xml:space="preserve">Le droit de reproduction </w:t>
      </w:r>
      <w:r w:rsidRPr="006E2494">
        <w:rPr>
          <w:rFonts w:cs="Arial"/>
          <w:color w:val="000000"/>
        </w:rPr>
        <w:t>s’entend du droit de reproduire ou de faire reproduire,</w:t>
      </w:r>
      <w:r>
        <w:rPr>
          <w:rFonts w:cs="Arial"/>
          <w:color w:val="000000"/>
        </w:rPr>
        <w:t xml:space="preserve"> </w:t>
      </w:r>
      <w:r w:rsidRPr="006E2494">
        <w:rPr>
          <w:rFonts w:cs="Arial"/>
          <w:color w:val="000000"/>
        </w:rPr>
        <w:t>d’enregistrer ou de faire enregistrer, d’adapter ou de faire adapter, sans limitation de nombre</w:t>
      </w:r>
      <w:r>
        <w:rPr>
          <w:rFonts w:cs="Arial"/>
          <w:color w:val="000000"/>
        </w:rPr>
        <w:t xml:space="preserve"> </w:t>
      </w:r>
      <w:r w:rsidRPr="006E2494">
        <w:rPr>
          <w:rFonts w:cs="Arial"/>
          <w:color w:val="000000"/>
        </w:rPr>
        <w:t>:</w:t>
      </w:r>
    </w:p>
    <w:p w14:paraId="5307D1CA" w14:textId="5FE636F9" w:rsidR="006512C8" w:rsidRPr="00DC186B" w:rsidRDefault="006512C8" w:rsidP="001F4617">
      <w:pPr>
        <w:pStyle w:val="Paragraphedeliste"/>
        <w:numPr>
          <w:ilvl w:val="0"/>
          <w:numId w:val="18"/>
        </w:numPr>
        <w:tabs>
          <w:tab w:val="left" w:pos="284"/>
        </w:tabs>
        <w:autoSpaceDE w:val="0"/>
        <w:autoSpaceDN w:val="0"/>
        <w:adjustRightInd w:val="0"/>
        <w:spacing w:line="240" w:lineRule="auto"/>
        <w:ind w:left="714" w:hanging="357"/>
        <w:rPr>
          <w:rFonts w:cs="Arial"/>
          <w:color w:val="000000"/>
        </w:rPr>
      </w:pPr>
      <w:proofErr w:type="gramStart"/>
      <w:r w:rsidRPr="00DC186B">
        <w:rPr>
          <w:rFonts w:cs="Arial"/>
          <w:color w:val="000000"/>
        </w:rPr>
        <w:t>par</w:t>
      </w:r>
      <w:proofErr w:type="gramEnd"/>
      <w:r w:rsidRPr="00DC186B">
        <w:rPr>
          <w:rFonts w:cs="Arial"/>
          <w:color w:val="000000"/>
        </w:rPr>
        <w:t xml:space="preserve">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6E080ACC" w14:textId="517DC750" w:rsidR="006512C8" w:rsidRPr="00DC186B" w:rsidRDefault="006512C8" w:rsidP="001F4617">
      <w:pPr>
        <w:pStyle w:val="Paragraphedeliste"/>
        <w:numPr>
          <w:ilvl w:val="0"/>
          <w:numId w:val="18"/>
        </w:numPr>
        <w:tabs>
          <w:tab w:val="left" w:pos="284"/>
        </w:tabs>
        <w:autoSpaceDE w:val="0"/>
        <w:autoSpaceDN w:val="0"/>
        <w:adjustRightInd w:val="0"/>
        <w:spacing w:line="240" w:lineRule="auto"/>
        <w:ind w:left="714" w:hanging="357"/>
        <w:rPr>
          <w:rFonts w:cs="Arial"/>
          <w:color w:val="000000"/>
        </w:rPr>
      </w:pPr>
      <w:r w:rsidRPr="00DC186B">
        <w:rPr>
          <w:rFonts w:cs="Arial"/>
          <w:color w:val="000000"/>
        </w:rPr>
        <w:t xml:space="preserve">sur tous supports connus ou inconnus à ce jour qu’ils soient notamment analogiques, magnétiques, numériques, ou optiques tels que notamment les supports papier, les films tous </w:t>
      </w:r>
      <w:proofErr w:type="spellStart"/>
      <w:r w:rsidRPr="00DC186B">
        <w:rPr>
          <w:rFonts w:cs="Arial"/>
          <w:color w:val="000000"/>
        </w:rPr>
        <w:t>millimétrages</w:t>
      </w:r>
      <w:proofErr w:type="spellEnd"/>
      <w:r w:rsidRPr="00DC186B">
        <w:rPr>
          <w:rFonts w:cs="Arial"/>
          <w:color w:val="000000"/>
        </w:rPr>
        <w:t xml:space="preserve">, ainsi que </w:t>
      </w:r>
      <w:r w:rsidRPr="00DC186B">
        <w:rPr>
          <w:rFonts w:cs="Arial"/>
          <w:color w:val="000000"/>
        </w:rPr>
        <w:lastRenderedPageBreak/>
        <w:t xml:space="preserve">les disquettes, CD, CD-Rom, CDR, CD-RW, CDI, DVD, </w:t>
      </w:r>
      <w:proofErr w:type="spellStart"/>
      <w:r w:rsidRPr="00DC186B">
        <w:rPr>
          <w:rFonts w:cs="Arial"/>
          <w:color w:val="000000"/>
        </w:rPr>
        <w:t>DVDRom</w:t>
      </w:r>
      <w:proofErr w:type="spellEnd"/>
      <w:r w:rsidRPr="00DC186B">
        <w:rPr>
          <w:rFonts w:cs="Arial"/>
          <w:color w:val="000000"/>
        </w:rPr>
        <w:t xml:space="preserve">, DVD-R, DVD-RW, vidéodisques, disques </w:t>
      </w:r>
      <w:proofErr w:type="spellStart"/>
      <w:r w:rsidRPr="00DC186B">
        <w:rPr>
          <w:rFonts w:cs="Arial"/>
          <w:color w:val="000000"/>
        </w:rPr>
        <w:t>blue-ray</w:t>
      </w:r>
      <w:proofErr w:type="spellEnd"/>
      <w:r w:rsidRPr="00DC186B">
        <w:rPr>
          <w:rFonts w:cs="Arial"/>
          <w:color w:val="000000"/>
        </w:rPr>
        <w:t xml:space="preserve">, périphériques de stockage de masse (notamment clés USB, disques durs, amovibles ou non, serveurs internes, serveurs externes notamment fonctionnant en cloud </w:t>
      </w:r>
      <w:proofErr w:type="spellStart"/>
      <w:r w:rsidRPr="00DC186B">
        <w:rPr>
          <w:rFonts w:cs="Arial"/>
          <w:color w:val="000000"/>
        </w:rPr>
        <w:t>computing</w:t>
      </w:r>
      <w:proofErr w:type="spellEnd"/>
      <w:r w:rsidRPr="00DC186B">
        <w:rPr>
          <w:rFonts w:cs="Arial"/>
          <w:color w:val="000000"/>
        </w:rPr>
        <w:t>), cartes à mémoire, lecteurs numériques, assistants personnels, téléphones mobiles, e-book, tablettes tactiles.</w:t>
      </w:r>
    </w:p>
    <w:p w14:paraId="45931AD6" w14:textId="77777777" w:rsidR="006512C8" w:rsidRPr="006E2494" w:rsidRDefault="006512C8" w:rsidP="006512C8">
      <w:pPr>
        <w:autoSpaceDE w:val="0"/>
        <w:autoSpaceDN w:val="0"/>
        <w:adjustRightInd w:val="0"/>
        <w:rPr>
          <w:rFonts w:cs="Arial"/>
          <w:color w:val="000000"/>
        </w:rPr>
      </w:pPr>
    </w:p>
    <w:p w14:paraId="37795EC8"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de reproduction comprend également le droit d’éditer ou de faire éditer dans des</w:t>
      </w:r>
      <w:r>
        <w:rPr>
          <w:rFonts w:cs="Arial"/>
          <w:color w:val="000000"/>
        </w:rPr>
        <w:t xml:space="preserve"> </w:t>
      </w:r>
      <w:r w:rsidRPr="006E2494">
        <w:rPr>
          <w:rFonts w:cs="Arial"/>
          <w:color w:val="000000"/>
        </w:rPr>
        <w:t>journaux, magazines, etc.</w:t>
      </w:r>
    </w:p>
    <w:p w14:paraId="4635ECBB"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de reproduction comprend encore le droit de mettre à disposition du public sur tous</w:t>
      </w:r>
      <w:r>
        <w:rPr>
          <w:rFonts w:cs="Arial"/>
          <w:color w:val="000000"/>
        </w:rPr>
        <w:t xml:space="preserve"> </w:t>
      </w:r>
      <w:r w:rsidRPr="006E2494">
        <w:rPr>
          <w:rFonts w:cs="Arial"/>
          <w:color w:val="000000"/>
        </w:rPr>
        <w:t>supports et par tous moyens.</w:t>
      </w:r>
    </w:p>
    <w:p w14:paraId="1DC7A61D" w14:textId="77777777" w:rsidR="006512C8" w:rsidRPr="006E2494" w:rsidRDefault="006512C8" w:rsidP="006512C8">
      <w:pPr>
        <w:autoSpaceDE w:val="0"/>
        <w:autoSpaceDN w:val="0"/>
        <w:adjustRightInd w:val="0"/>
        <w:rPr>
          <w:rFonts w:cs="Arial"/>
          <w:b/>
          <w:bCs/>
          <w:color w:val="000000"/>
        </w:rPr>
      </w:pPr>
    </w:p>
    <w:p w14:paraId="0F3C7AC2" w14:textId="77777777" w:rsidR="006512C8" w:rsidRPr="006E2494" w:rsidRDefault="006512C8" w:rsidP="00DC186B">
      <w:pPr>
        <w:autoSpaceDE w:val="0"/>
        <w:autoSpaceDN w:val="0"/>
        <w:adjustRightInd w:val="0"/>
        <w:spacing w:after="60"/>
        <w:rPr>
          <w:rFonts w:cs="Arial"/>
          <w:color w:val="000000"/>
        </w:rPr>
      </w:pPr>
      <w:r w:rsidRPr="006E2494">
        <w:rPr>
          <w:rFonts w:cs="Arial"/>
          <w:b/>
          <w:bCs/>
          <w:color w:val="000000"/>
        </w:rPr>
        <w:t xml:space="preserve">Le droit de représentation </w:t>
      </w:r>
      <w:r w:rsidRPr="006E2494">
        <w:rPr>
          <w:rFonts w:cs="Arial"/>
          <w:color w:val="000000"/>
        </w:rPr>
        <w:t>s’entend du droit de communiquer au public, d’exposer, de</w:t>
      </w:r>
      <w:r>
        <w:rPr>
          <w:rFonts w:cs="Arial"/>
          <w:color w:val="000000"/>
        </w:rPr>
        <w:t xml:space="preserve"> </w:t>
      </w:r>
      <w:r w:rsidRPr="006E2494">
        <w:rPr>
          <w:rFonts w:cs="Arial"/>
          <w:color w:val="000000"/>
        </w:rPr>
        <w:t>représenter ou de faire représenter, ensemble ou séparément :</w:t>
      </w:r>
    </w:p>
    <w:p w14:paraId="1E3E1E40" w14:textId="1DF152FA" w:rsidR="006512C8" w:rsidRPr="00ED6EA4" w:rsidRDefault="006512C8" w:rsidP="001F4617">
      <w:pPr>
        <w:pStyle w:val="Paragraphedeliste"/>
        <w:numPr>
          <w:ilvl w:val="0"/>
          <w:numId w:val="16"/>
        </w:numPr>
        <w:tabs>
          <w:tab w:val="left" w:pos="284"/>
        </w:tabs>
        <w:autoSpaceDE w:val="0"/>
        <w:autoSpaceDN w:val="0"/>
        <w:adjustRightInd w:val="0"/>
        <w:spacing w:before="0" w:line="240" w:lineRule="auto"/>
        <w:ind w:left="714" w:hanging="357"/>
        <w:rPr>
          <w:rFonts w:cs="Arial"/>
          <w:color w:val="000000"/>
        </w:rPr>
      </w:pPr>
      <w:proofErr w:type="gramStart"/>
      <w:r w:rsidRPr="00ED6EA4">
        <w:rPr>
          <w:rFonts w:cs="Arial"/>
          <w:color w:val="000000"/>
        </w:rPr>
        <w:t>par</w:t>
      </w:r>
      <w:proofErr w:type="gramEnd"/>
      <w:r w:rsidRPr="00ED6EA4">
        <w:rPr>
          <w:rFonts w:cs="Arial"/>
          <w:color w:val="000000"/>
        </w:rPr>
        <w:t xml:space="preserve"> tous moyens et tous procédés techniques connus et inconnus à ce jour qu’ils soient notamment analogiques, optiques, magnétiques, vidéographiques ou numériques ;</w:t>
      </w:r>
    </w:p>
    <w:p w14:paraId="501B3273" w14:textId="68B7FBA1" w:rsidR="006512C8" w:rsidRPr="00ED6EA4" w:rsidRDefault="006512C8" w:rsidP="001F4617">
      <w:pPr>
        <w:pStyle w:val="Paragraphedeliste"/>
        <w:numPr>
          <w:ilvl w:val="0"/>
          <w:numId w:val="16"/>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 xml:space="preserve">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w:t>
      </w:r>
      <w:proofErr w:type="spellStart"/>
      <w:r w:rsidRPr="00ED6EA4">
        <w:rPr>
          <w:rFonts w:cs="Arial"/>
          <w:color w:val="000000"/>
        </w:rPr>
        <w:t>computing</w:t>
      </w:r>
      <w:proofErr w:type="spellEnd"/>
      <w:r w:rsidRPr="00ED6EA4">
        <w:rPr>
          <w:rFonts w:cs="Arial"/>
          <w:color w:val="000000"/>
        </w:rPr>
        <w:t>), cartes à mémoire, lecteurs numériques, assistants personnels, téléphones mobiles, e-book, tablettes tactiles et tout autre procédé analogue existant ou à venir qu’il soit informatique, numérique, télématique et de télécommunication.</w:t>
      </w:r>
    </w:p>
    <w:p w14:paraId="3E6B3E45" w14:textId="0EBA3E49" w:rsidR="006512C8" w:rsidRPr="00ED6EA4" w:rsidRDefault="006512C8" w:rsidP="001F4617">
      <w:pPr>
        <w:pStyle w:val="Paragraphedeliste"/>
        <w:numPr>
          <w:ilvl w:val="0"/>
          <w:numId w:val="16"/>
        </w:numPr>
        <w:tabs>
          <w:tab w:val="left" w:pos="284"/>
        </w:tabs>
        <w:autoSpaceDE w:val="0"/>
        <w:autoSpaceDN w:val="0"/>
        <w:adjustRightInd w:val="0"/>
        <w:spacing w:before="0" w:line="240" w:lineRule="auto"/>
        <w:ind w:left="714" w:hanging="357"/>
        <w:rPr>
          <w:rFonts w:cs="Arial"/>
          <w:color w:val="000000"/>
        </w:rPr>
      </w:pPr>
      <w:proofErr w:type="gramStart"/>
      <w:r w:rsidRPr="00ED6EA4">
        <w:rPr>
          <w:rFonts w:cs="Arial"/>
          <w:color w:val="000000"/>
        </w:rPr>
        <w:t>par</w:t>
      </w:r>
      <w:proofErr w:type="gramEnd"/>
      <w:r w:rsidRPr="00ED6EA4">
        <w:rPr>
          <w:rFonts w:cs="Arial"/>
          <w:color w:val="000000"/>
        </w:rPr>
        <w:t xml:space="preserve">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3340A466" w14:textId="373FAF23" w:rsidR="006512C8" w:rsidRPr="00ED6EA4" w:rsidRDefault="006512C8" w:rsidP="001F4617">
      <w:pPr>
        <w:pStyle w:val="Paragraphedeliste"/>
        <w:numPr>
          <w:ilvl w:val="0"/>
          <w:numId w:val="16"/>
        </w:numPr>
        <w:tabs>
          <w:tab w:val="left" w:pos="284"/>
        </w:tabs>
        <w:autoSpaceDE w:val="0"/>
        <w:autoSpaceDN w:val="0"/>
        <w:adjustRightInd w:val="0"/>
        <w:spacing w:before="0" w:line="240" w:lineRule="auto"/>
        <w:ind w:left="714" w:hanging="357"/>
        <w:rPr>
          <w:rFonts w:cs="Arial"/>
          <w:color w:val="000000"/>
        </w:rPr>
      </w:pPr>
      <w:proofErr w:type="gramStart"/>
      <w:r w:rsidRPr="00ED6EA4">
        <w:rPr>
          <w:rFonts w:cs="Arial"/>
          <w:color w:val="000000"/>
        </w:rPr>
        <w:t>dans</w:t>
      </w:r>
      <w:proofErr w:type="gramEnd"/>
      <w:r w:rsidRPr="00ED6EA4">
        <w:rPr>
          <w:rFonts w:cs="Arial"/>
          <w:color w:val="000000"/>
        </w:rPr>
        <w:t xml:space="preserve"> toutes salles réunissant du public, payant ou non.</w:t>
      </w:r>
    </w:p>
    <w:p w14:paraId="6706C1E0" w14:textId="77777777" w:rsidR="00AF7628" w:rsidRDefault="00AF7628" w:rsidP="006A4A5D">
      <w:pPr>
        <w:tabs>
          <w:tab w:val="left" w:pos="567"/>
        </w:tabs>
        <w:autoSpaceDE w:val="0"/>
        <w:autoSpaceDN w:val="0"/>
        <w:adjustRightInd w:val="0"/>
        <w:rPr>
          <w:rFonts w:cs="Arial"/>
          <w:color w:val="000000"/>
        </w:rPr>
      </w:pPr>
    </w:p>
    <w:p w14:paraId="51EFB3E5" w14:textId="46F95A37" w:rsidR="006512C8" w:rsidRPr="006E2494" w:rsidRDefault="006512C8" w:rsidP="006A4A5D">
      <w:pPr>
        <w:tabs>
          <w:tab w:val="left" w:pos="567"/>
        </w:tabs>
        <w:autoSpaceDE w:val="0"/>
        <w:autoSpaceDN w:val="0"/>
        <w:adjustRightInd w:val="0"/>
        <w:rPr>
          <w:rFonts w:cs="Arial"/>
          <w:color w:val="000000"/>
        </w:rPr>
      </w:pPr>
      <w:r w:rsidRPr="006E2494">
        <w:rPr>
          <w:rFonts w:cs="Arial"/>
          <w:color w:val="000000"/>
        </w:rPr>
        <w:t>Le droit de représentation comprend également le droit de mettre ou de faire mettre en</w:t>
      </w:r>
      <w:r>
        <w:rPr>
          <w:rFonts w:cs="Arial"/>
          <w:color w:val="000000"/>
        </w:rPr>
        <w:t xml:space="preserve"> </w:t>
      </w:r>
      <w:r w:rsidRPr="006E2494">
        <w:rPr>
          <w:rFonts w:cs="Arial"/>
          <w:color w:val="000000"/>
        </w:rPr>
        <w:t>circulation les originaux, doubles ou copies, en version physique et/ou version numérique</w:t>
      </w:r>
      <w:r>
        <w:rPr>
          <w:rFonts w:cs="Arial"/>
          <w:color w:val="000000"/>
        </w:rPr>
        <w:t xml:space="preserve"> </w:t>
      </w:r>
      <w:r w:rsidRPr="006E2494">
        <w:rPr>
          <w:rFonts w:cs="Arial"/>
          <w:color w:val="000000"/>
        </w:rPr>
        <w:t>pour toute mise à disposition et communication au public.</w:t>
      </w:r>
    </w:p>
    <w:p w14:paraId="73D54609" w14:textId="77777777" w:rsidR="006512C8" w:rsidRPr="006E2494" w:rsidRDefault="006512C8" w:rsidP="006512C8">
      <w:pPr>
        <w:autoSpaceDE w:val="0"/>
        <w:autoSpaceDN w:val="0"/>
        <w:adjustRightInd w:val="0"/>
        <w:rPr>
          <w:rFonts w:cs="Arial"/>
          <w:b/>
          <w:bCs/>
          <w:color w:val="000000"/>
        </w:rPr>
      </w:pPr>
    </w:p>
    <w:p w14:paraId="57ECAC0C" w14:textId="2065762F" w:rsidR="006512C8" w:rsidRDefault="006512C8" w:rsidP="006512C8">
      <w:pPr>
        <w:autoSpaceDE w:val="0"/>
        <w:autoSpaceDN w:val="0"/>
        <w:adjustRightInd w:val="0"/>
        <w:rPr>
          <w:rFonts w:cs="Arial"/>
          <w:color w:val="000000"/>
        </w:rPr>
      </w:pPr>
      <w:r w:rsidRPr="006E2494">
        <w:rPr>
          <w:rFonts w:cs="Arial"/>
          <w:b/>
          <w:bCs/>
          <w:color w:val="000000"/>
        </w:rPr>
        <w:t>Le droit d’adaptation</w:t>
      </w:r>
      <w:r w:rsidRPr="006E2494">
        <w:rPr>
          <w:rFonts w:cs="Arial"/>
          <w:color w:val="000000"/>
        </w:rPr>
        <w:t>, de modification et d’arrangement s’entend du droit de modifier les</w:t>
      </w:r>
      <w:r>
        <w:rPr>
          <w:rFonts w:cs="Arial"/>
          <w:color w:val="000000"/>
        </w:rPr>
        <w:t xml:space="preserve"> </w:t>
      </w:r>
      <w:r w:rsidRPr="006E2494">
        <w:rPr>
          <w:rFonts w:cs="Arial"/>
          <w:color w:val="000000"/>
        </w:rPr>
        <w:t xml:space="preserve">résultats et notamment de les intégrer au sein d’autres </w:t>
      </w:r>
      <w:r>
        <w:rPr>
          <w:rFonts w:cs="Arial"/>
          <w:color w:val="000000"/>
        </w:rPr>
        <w:t xml:space="preserve">œuvres </w:t>
      </w:r>
      <w:r w:rsidRPr="006E2494">
        <w:rPr>
          <w:rFonts w:cs="Arial"/>
          <w:color w:val="000000"/>
        </w:rPr>
        <w:t xml:space="preserve">ou études, d’adapter </w:t>
      </w:r>
      <w:r>
        <w:rPr>
          <w:rFonts w:cs="Arial"/>
          <w:color w:val="000000"/>
        </w:rPr>
        <w:t>les résultats</w:t>
      </w:r>
      <w:r w:rsidRPr="006E2494">
        <w:rPr>
          <w:rFonts w:cs="Arial"/>
          <w:color w:val="000000"/>
        </w:rPr>
        <w:t xml:space="preserve"> sous forme d’éléments d’une </w:t>
      </w:r>
      <w:r>
        <w:rPr>
          <w:rFonts w:cs="Arial"/>
          <w:color w:val="000000"/>
        </w:rPr>
        <w:t xml:space="preserve">œuvre </w:t>
      </w:r>
      <w:r w:rsidRPr="006E2494">
        <w:rPr>
          <w:rFonts w:cs="Arial"/>
          <w:color w:val="000000"/>
        </w:rPr>
        <w:t>ou étude collective ou d’une</w:t>
      </w:r>
      <w:r>
        <w:rPr>
          <w:rFonts w:cs="Arial"/>
          <w:color w:val="000000"/>
        </w:rPr>
        <w:t xml:space="preserve"> œuvre </w:t>
      </w:r>
      <w:r w:rsidRPr="006E2494">
        <w:rPr>
          <w:rFonts w:cs="Arial"/>
          <w:color w:val="000000"/>
        </w:rPr>
        <w:t>ou étude composite, et notamment :</w:t>
      </w:r>
    </w:p>
    <w:p w14:paraId="2D912E0A" w14:textId="4B0327F6" w:rsidR="006512C8" w:rsidRPr="00ED6EA4" w:rsidRDefault="006512C8" w:rsidP="00E73B45">
      <w:pPr>
        <w:pStyle w:val="Paragraphedeliste"/>
        <w:numPr>
          <w:ilvl w:val="0"/>
          <w:numId w:val="17"/>
        </w:numPr>
        <w:autoSpaceDE w:val="0"/>
        <w:autoSpaceDN w:val="0"/>
        <w:adjustRightInd w:val="0"/>
        <w:spacing w:line="240" w:lineRule="auto"/>
        <w:ind w:left="714" w:hanging="357"/>
        <w:contextualSpacing w:val="0"/>
        <w:rPr>
          <w:rFonts w:cs="Arial"/>
          <w:color w:val="000000"/>
        </w:rPr>
      </w:pPr>
      <w:proofErr w:type="gramStart"/>
      <w:r w:rsidRPr="00ED6EA4">
        <w:rPr>
          <w:rFonts w:cs="Arial"/>
          <w:color w:val="000000"/>
        </w:rPr>
        <w:t>le</w:t>
      </w:r>
      <w:proofErr w:type="gramEnd"/>
      <w:r w:rsidRPr="00ED6EA4">
        <w:rPr>
          <w:rFonts w:cs="Arial"/>
          <w:color w:val="000000"/>
        </w:rPr>
        <w:t xml:space="preserve"> droit d’intégrer et d’adapter dans une œuvre multimédia ou audiovisuelle</w:t>
      </w:r>
      <w:r w:rsidR="00ED6EA4" w:rsidRPr="00ED6EA4">
        <w:rPr>
          <w:rFonts w:cs="Arial"/>
          <w:color w:val="000000"/>
        </w:rPr>
        <w:t xml:space="preserve"> </w:t>
      </w:r>
      <w:r w:rsidRPr="00ED6EA4">
        <w:rPr>
          <w:rFonts w:cs="Arial"/>
          <w:color w:val="000000"/>
        </w:rPr>
        <w:t>;</w:t>
      </w:r>
    </w:p>
    <w:p w14:paraId="359FFBC4" w14:textId="317AB1E9" w:rsidR="006512C8" w:rsidRPr="00ED6EA4" w:rsidRDefault="006512C8" w:rsidP="00E73B45">
      <w:pPr>
        <w:pStyle w:val="Paragraphedeliste"/>
        <w:numPr>
          <w:ilvl w:val="0"/>
          <w:numId w:val="17"/>
        </w:numPr>
        <w:autoSpaceDE w:val="0"/>
        <w:autoSpaceDN w:val="0"/>
        <w:adjustRightInd w:val="0"/>
        <w:spacing w:line="240" w:lineRule="auto"/>
        <w:ind w:left="714" w:hanging="357"/>
        <w:contextualSpacing w:val="0"/>
        <w:rPr>
          <w:rFonts w:cs="Arial"/>
          <w:color w:val="000000"/>
        </w:rPr>
      </w:pPr>
      <w:proofErr w:type="gramStart"/>
      <w:r w:rsidRPr="00ED6EA4">
        <w:rPr>
          <w:rFonts w:cs="Arial"/>
          <w:color w:val="000000"/>
        </w:rPr>
        <w:t>le</w:t>
      </w:r>
      <w:proofErr w:type="gramEnd"/>
      <w:r w:rsidRPr="00ED6EA4">
        <w:rPr>
          <w:rFonts w:cs="Arial"/>
          <w:color w:val="000000"/>
        </w:rPr>
        <w:t xml:space="preserve"> droit d’intégrer dans une base de données ou dans tout programme informatique ou d’adapter sous forme de base de données.</w:t>
      </w:r>
    </w:p>
    <w:p w14:paraId="558A68A4" w14:textId="77777777" w:rsidR="006512C8" w:rsidRPr="006E2494" w:rsidRDefault="006512C8" w:rsidP="006512C8">
      <w:pPr>
        <w:autoSpaceDE w:val="0"/>
        <w:autoSpaceDN w:val="0"/>
        <w:adjustRightInd w:val="0"/>
        <w:rPr>
          <w:rFonts w:cs="Arial"/>
          <w:color w:val="000000"/>
        </w:rPr>
      </w:pPr>
    </w:p>
    <w:p w14:paraId="39DD3EA2" w14:textId="77777777" w:rsidR="006512C8" w:rsidRDefault="006512C8" w:rsidP="006512C8">
      <w:pPr>
        <w:autoSpaceDE w:val="0"/>
        <w:autoSpaceDN w:val="0"/>
        <w:adjustRightInd w:val="0"/>
        <w:rPr>
          <w:rFonts w:cs="Arial"/>
          <w:color w:val="000000"/>
        </w:rPr>
      </w:pPr>
      <w:r w:rsidRPr="006E2494">
        <w:rPr>
          <w:rFonts w:cs="Arial"/>
          <w:color w:val="000000"/>
        </w:rPr>
        <w:t>Dans tous les cas, le livrable, modifié ou arrangé peut être reproduit ou représenté dans les</w:t>
      </w:r>
      <w:r>
        <w:rPr>
          <w:rFonts w:cs="Arial"/>
          <w:color w:val="000000"/>
        </w:rPr>
        <w:t xml:space="preserve"> </w:t>
      </w:r>
      <w:r w:rsidRPr="006E2494">
        <w:rPr>
          <w:rFonts w:cs="Arial"/>
          <w:color w:val="000000"/>
        </w:rPr>
        <w:t>conditions définies aux paragraphes ci-dessus, du présent article.</w:t>
      </w:r>
      <w:r>
        <w:rPr>
          <w:rFonts w:cs="Arial"/>
          <w:color w:val="000000"/>
        </w:rPr>
        <w:t xml:space="preserve"> </w:t>
      </w:r>
    </w:p>
    <w:p w14:paraId="77B8ABA2"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d’adaptation, de modification et d’arrangement s’exerce dans le respect du droit</w:t>
      </w:r>
      <w:r>
        <w:rPr>
          <w:rFonts w:cs="Arial"/>
          <w:color w:val="000000"/>
        </w:rPr>
        <w:t xml:space="preserve"> </w:t>
      </w:r>
      <w:r w:rsidRPr="006E2494">
        <w:rPr>
          <w:rFonts w:cs="Arial"/>
          <w:color w:val="000000"/>
        </w:rPr>
        <w:t>moral de l’auteur.</w:t>
      </w:r>
    </w:p>
    <w:p w14:paraId="029D5D71" w14:textId="77777777" w:rsidR="006512C8" w:rsidRPr="006E2494" w:rsidRDefault="006512C8" w:rsidP="006512C8">
      <w:pPr>
        <w:autoSpaceDE w:val="0"/>
        <w:autoSpaceDN w:val="0"/>
        <w:adjustRightInd w:val="0"/>
        <w:rPr>
          <w:rFonts w:cs="Arial"/>
          <w:b/>
          <w:bCs/>
          <w:color w:val="000000"/>
        </w:rPr>
      </w:pPr>
    </w:p>
    <w:p w14:paraId="6A1667A1" w14:textId="10BB10F5" w:rsidR="006512C8" w:rsidRPr="004A4774" w:rsidRDefault="006512C8" w:rsidP="006512C8">
      <w:pPr>
        <w:autoSpaceDE w:val="0"/>
        <w:autoSpaceDN w:val="0"/>
        <w:adjustRightInd w:val="0"/>
        <w:rPr>
          <w:rFonts w:cs="Arial"/>
          <w:b/>
          <w:bCs/>
          <w:color w:val="000000"/>
        </w:rPr>
      </w:pPr>
      <w:r w:rsidRPr="004A4774">
        <w:rPr>
          <w:rFonts w:cs="Arial"/>
          <w:b/>
          <w:bCs/>
          <w:color w:val="000000"/>
        </w:rPr>
        <w:t>6.</w:t>
      </w:r>
      <w:r w:rsidR="00CA7F61">
        <w:rPr>
          <w:b/>
        </w:rPr>
        <w:t>7</w:t>
      </w:r>
      <w:r w:rsidRPr="004A4774">
        <w:rPr>
          <w:rFonts w:cs="Arial"/>
          <w:b/>
          <w:bCs/>
          <w:color w:val="000000"/>
        </w:rPr>
        <w:t>.3.3 Exploitation</w:t>
      </w:r>
    </w:p>
    <w:p w14:paraId="78927270" w14:textId="77777777" w:rsidR="006512C8" w:rsidRPr="006E2494" w:rsidRDefault="006512C8" w:rsidP="006512C8">
      <w:pPr>
        <w:autoSpaceDE w:val="0"/>
        <w:autoSpaceDN w:val="0"/>
        <w:adjustRightInd w:val="0"/>
        <w:rPr>
          <w:rFonts w:cs="Arial"/>
          <w:color w:val="000000"/>
        </w:rPr>
      </w:pPr>
    </w:p>
    <w:p w14:paraId="253D398F" w14:textId="2EB3AFD5" w:rsidR="000F7994" w:rsidRDefault="006512C8" w:rsidP="00305ED2">
      <w:pPr>
        <w:autoSpaceDE w:val="0"/>
        <w:autoSpaceDN w:val="0"/>
        <w:adjustRightInd w:val="0"/>
        <w:rPr>
          <w:rFonts w:cs="Arial"/>
          <w:color w:val="000000"/>
        </w:rPr>
      </w:pPr>
      <w:r w:rsidRPr="006E2494">
        <w:rPr>
          <w:rFonts w:cs="Arial"/>
          <w:color w:val="000000"/>
        </w:rPr>
        <w:t xml:space="preserve">La cession des droits telle que décrite ci-dessus est consentie par le titulaire </w:t>
      </w:r>
      <w:r>
        <w:rPr>
          <w:rFonts w:cs="Arial"/>
          <w:color w:val="000000"/>
        </w:rPr>
        <w:t>de l’accord-cadre à l’acheteur</w:t>
      </w:r>
      <w:r w:rsidRPr="006E2494">
        <w:rPr>
          <w:rFonts w:cs="Arial"/>
          <w:color w:val="000000"/>
        </w:rPr>
        <w:t xml:space="preserve"> pour toute exploitation ensemble ou séparément, à titre</w:t>
      </w:r>
      <w:r>
        <w:rPr>
          <w:rFonts w:cs="Arial"/>
          <w:color w:val="000000"/>
        </w:rPr>
        <w:t xml:space="preserve"> </w:t>
      </w:r>
      <w:r w:rsidRPr="006E2494">
        <w:rPr>
          <w:rFonts w:cs="Arial"/>
          <w:color w:val="000000"/>
        </w:rPr>
        <w:t>principal ou accessoire dans le cadre de campagnes de communication, actuelles ou à venir,</w:t>
      </w:r>
      <w:r>
        <w:rPr>
          <w:rFonts w:cs="Arial"/>
          <w:color w:val="000000"/>
        </w:rPr>
        <w:t xml:space="preserve"> de l’acheteur</w:t>
      </w:r>
      <w:r w:rsidRPr="006E2494">
        <w:rPr>
          <w:rFonts w:cs="Arial"/>
          <w:color w:val="000000"/>
        </w:rPr>
        <w:t xml:space="preserve"> </w:t>
      </w:r>
      <w:r>
        <w:rPr>
          <w:rFonts w:cs="Arial"/>
          <w:color w:val="000000"/>
        </w:rPr>
        <w:t>de l’accord-cadre</w:t>
      </w:r>
      <w:r w:rsidRPr="006E2494">
        <w:rPr>
          <w:rFonts w:cs="Arial"/>
          <w:color w:val="000000"/>
        </w:rPr>
        <w:t>, interne ou externe, qu’elle</w:t>
      </w:r>
      <w:r>
        <w:rPr>
          <w:rFonts w:cs="Arial"/>
          <w:color w:val="000000"/>
        </w:rPr>
        <w:t xml:space="preserve"> </w:t>
      </w:r>
      <w:r w:rsidRPr="006E2494">
        <w:rPr>
          <w:rFonts w:cs="Arial"/>
          <w:color w:val="000000"/>
        </w:rPr>
        <w:t xml:space="preserve">ait lieu en France ou à l’étranger, à titre gratuit ou payant par </w:t>
      </w:r>
      <w:r>
        <w:rPr>
          <w:rFonts w:cs="Arial"/>
          <w:color w:val="000000"/>
        </w:rPr>
        <w:t>l’acheteur</w:t>
      </w:r>
      <w:r w:rsidRPr="006E2494">
        <w:rPr>
          <w:rFonts w:cs="Arial"/>
          <w:color w:val="000000"/>
        </w:rPr>
        <w:t xml:space="preserve"> ou un tiers. Les exploitations sont notamment la publication dans les journaux,</w:t>
      </w:r>
      <w:r>
        <w:rPr>
          <w:rFonts w:cs="Arial"/>
          <w:color w:val="000000"/>
        </w:rPr>
        <w:t xml:space="preserve"> </w:t>
      </w:r>
      <w:r w:rsidRPr="006E2494">
        <w:rPr>
          <w:rFonts w:cs="Arial"/>
          <w:color w:val="000000"/>
        </w:rPr>
        <w:t>magazines, revues, internes, régionales, nationales ou internationales, brochures, dépliants,</w:t>
      </w:r>
      <w:r>
        <w:rPr>
          <w:rFonts w:cs="Arial"/>
          <w:color w:val="000000"/>
        </w:rPr>
        <w:t xml:space="preserve"> </w:t>
      </w:r>
      <w:r w:rsidRPr="006E2494">
        <w:rPr>
          <w:rFonts w:cs="Arial"/>
          <w:color w:val="000000"/>
        </w:rPr>
        <w:t>plaquettes, prospectus, revues, dossiers de presse, communiqués de presse, chaînes de</w:t>
      </w:r>
      <w:r>
        <w:rPr>
          <w:rFonts w:cs="Arial"/>
          <w:color w:val="000000"/>
        </w:rPr>
        <w:t xml:space="preserve"> </w:t>
      </w:r>
      <w:r w:rsidRPr="006E2494">
        <w:rPr>
          <w:rFonts w:cs="Arial"/>
          <w:color w:val="000000"/>
        </w:rPr>
        <w:t>télévision internes, régionales, nationales ou internationales, réseaux internes, intranet et</w:t>
      </w:r>
      <w:r>
        <w:rPr>
          <w:rFonts w:cs="Arial"/>
          <w:color w:val="000000"/>
        </w:rPr>
        <w:t xml:space="preserve"> </w:t>
      </w:r>
      <w:r w:rsidRPr="006E2494">
        <w:rPr>
          <w:rFonts w:cs="Arial"/>
          <w:color w:val="000000"/>
        </w:rPr>
        <w:t>Internet, s</w:t>
      </w:r>
      <w:r>
        <w:rPr>
          <w:rFonts w:cs="Arial"/>
          <w:color w:val="000000"/>
        </w:rPr>
        <w:t>ur les sites de l’acheteur</w:t>
      </w:r>
      <w:r w:rsidRPr="006E2494">
        <w:rPr>
          <w:rFonts w:cs="Arial"/>
          <w:color w:val="000000"/>
        </w:rPr>
        <w:t>, tous sites d’information ou</w:t>
      </w:r>
      <w:r>
        <w:rPr>
          <w:rFonts w:cs="Arial"/>
          <w:color w:val="000000"/>
        </w:rPr>
        <w:t xml:space="preserve"> </w:t>
      </w:r>
      <w:r w:rsidRPr="006E2494">
        <w:rPr>
          <w:rFonts w:cs="Arial"/>
          <w:color w:val="000000"/>
        </w:rPr>
        <w:t xml:space="preserve">tous sites en lien avec les missions de service public </w:t>
      </w:r>
      <w:r>
        <w:rPr>
          <w:rFonts w:cs="Arial"/>
          <w:color w:val="000000"/>
        </w:rPr>
        <w:t>de l’acheteur</w:t>
      </w:r>
      <w:r w:rsidRPr="006E2494">
        <w:rPr>
          <w:rFonts w:cs="Arial"/>
          <w:color w:val="000000"/>
        </w:rPr>
        <w:t>.</w:t>
      </w:r>
    </w:p>
    <w:p w14:paraId="09B5A4FB" w14:textId="77777777" w:rsidR="008E25F9" w:rsidRPr="00E85775" w:rsidRDefault="008E25F9" w:rsidP="00C7548A"/>
    <w:p w14:paraId="040AA62A" w14:textId="7EB3C80D" w:rsidR="00E85775" w:rsidRPr="00E85775" w:rsidRDefault="005B1CE1" w:rsidP="000F7994">
      <w:pPr>
        <w:pStyle w:val="Titre2"/>
      </w:pPr>
      <w:bookmarkStart w:id="115" w:name="_Toc507666624"/>
      <w:bookmarkStart w:id="116" w:name="_Toc50109561"/>
      <w:bookmarkStart w:id="117" w:name="_Toc50113989"/>
      <w:bookmarkStart w:id="118" w:name="_Toc207979745"/>
      <w:r>
        <w:t>6.</w:t>
      </w:r>
      <w:r w:rsidR="00CA7F61">
        <w:rPr>
          <w:lang w:val="fr-FR"/>
        </w:rPr>
        <w:t>8</w:t>
      </w:r>
      <w:r w:rsidR="00E85775" w:rsidRPr="00E85775">
        <w:t>. Réparation des dommages.</w:t>
      </w:r>
      <w:bookmarkEnd w:id="115"/>
      <w:bookmarkEnd w:id="116"/>
      <w:bookmarkEnd w:id="117"/>
      <w:bookmarkEnd w:id="118"/>
    </w:p>
    <w:p w14:paraId="27953C1A" w14:textId="77777777" w:rsidR="00E85775" w:rsidRPr="00E85775" w:rsidRDefault="00E85775" w:rsidP="00C7548A"/>
    <w:p w14:paraId="232F76AE" w14:textId="7CF6F3D0" w:rsidR="00E85775" w:rsidRPr="00E85775" w:rsidRDefault="005B1CE1" w:rsidP="00C7548A">
      <w:r w:rsidRPr="005B1CE1">
        <w:rPr>
          <w:b/>
        </w:rPr>
        <w:t>6.</w:t>
      </w:r>
      <w:r w:rsidR="00CA7F61">
        <w:rPr>
          <w:b/>
        </w:rPr>
        <w:t>8</w:t>
      </w:r>
      <w:r w:rsidR="00E85775" w:rsidRPr="005B1CE1">
        <w:rPr>
          <w:b/>
        </w:rPr>
        <w:t>.1</w:t>
      </w:r>
      <w:r w:rsidR="00E85775" w:rsidRPr="00D166AE">
        <w:t xml:space="preserve">. Conformément aux dispositions de l'article 8 du </w:t>
      </w:r>
      <w:r w:rsidR="00D166AE" w:rsidRPr="00D166AE">
        <w:t>CCAG/</w:t>
      </w:r>
      <w:r w:rsidR="00E85775" w:rsidRPr="00D166AE">
        <w:t>PI, les dommages de toute nature causés au</w:t>
      </w:r>
      <w:r w:rsidR="00E85775" w:rsidRPr="00E85775">
        <w:t xml:space="preserve"> personnel ou aux biens de la personne publique par le titulaire du fait de l'exécution </w:t>
      </w:r>
      <w:r w:rsidR="0037147F">
        <w:t>de l’accord-cadre</w:t>
      </w:r>
      <w:r w:rsidR="00E85775" w:rsidRPr="00E85775">
        <w:t>, sont à la charge du titulaire.</w:t>
      </w:r>
    </w:p>
    <w:p w14:paraId="6EE8C4C1" w14:textId="77777777" w:rsidR="00E85775" w:rsidRPr="00E85775" w:rsidRDefault="00E85775" w:rsidP="00C7548A"/>
    <w:p w14:paraId="72D10E41" w14:textId="77777777" w:rsidR="00E85775" w:rsidRPr="00E85775" w:rsidRDefault="00E85775" w:rsidP="00C7548A">
      <w:r w:rsidRPr="00E85775">
        <w:t xml:space="preserve">Les dommages de toute nature causés au personnel ou aux biens du titulaire par la personne publique du fait de l'exécution </w:t>
      </w:r>
      <w:r w:rsidR="0037147F">
        <w:t>de l’accord-cadre</w:t>
      </w:r>
      <w:r w:rsidRPr="00E85775">
        <w:t xml:space="preserve"> sont à la charge de la personne publique. </w:t>
      </w:r>
    </w:p>
    <w:p w14:paraId="591CD46A" w14:textId="77777777" w:rsidR="00E85775" w:rsidRPr="00E85775" w:rsidRDefault="00E85775" w:rsidP="00C7548A"/>
    <w:p w14:paraId="420DC9A3" w14:textId="79118CAB" w:rsidR="00E85775" w:rsidRPr="00E85775" w:rsidRDefault="005B1CE1" w:rsidP="00C7548A">
      <w:r w:rsidRPr="005B1CE1">
        <w:rPr>
          <w:b/>
        </w:rPr>
        <w:t>6.</w:t>
      </w:r>
      <w:r w:rsidR="00CA7F61">
        <w:rPr>
          <w:b/>
        </w:rPr>
        <w:t>8</w:t>
      </w:r>
      <w:r w:rsidR="00E85775" w:rsidRPr="005B1CE1">
        <w:rPr>
          <w:b/>
        </w:rPr>
        <w:t>.2</w:t>
      </w:r>
      <w:r w:rsidR="00E85775" w:rsidRPr="00E85775">
        <w:t xml:space="preserve">. Tant que les fournitures restent la propriété du titulaire, celui-ci est, sauf faute </w:t>
      </w:r>
      <w:r w:rsidR="00152248">
        <w:t>de l’acheteur</w:t>
      </w:r>
      <w:r w:rsidR="00E85775" w:rsidRPr="00E85775">
        <w:t xml:space="preserve">, seul responsable des dommages subis par ces fournitures du fait de toute cause autre que l'exposition à la radioactivité </w:t>
      </w:r>
      <w:r w:rsidR="00E85775" w:rsidRPr="00E85775">
        <w:lastRenderedPageBreak/>
        <w:t>artificielle ou les catastrophes naturelles dûment reconnues. Cette stipulation ne s'applique pas en cas d'adjonction d'équipements fournis par la personne publique au matériel du titulaire et causant des dommages à celui-ci.</w:t>
      </w:r>
    </w:p>
    <w:p w14:paraId="25FD57F8" w14:textId="77777777" w:rsidR="00E85775" w:rsidRPr="00E85775" w:rsidRDefault="00E85775" w:rsidP="00C7548A"/>
    <w:p w14:paraId="03249233" w14:textId="754DD8D2" w:rsidR="00E85775" w:rsidRPr="00E85775" w:rsidRDefault="005B1CE1" w:rsidP="00C7548A">
      <w:r w:rsidRPr="005B1CE1">
        <w:rPr>
          <w:b/>
        </w:rPr>
        <w:t>6.</w:t>
      </w:r>
      <w:r w:rsidR="00CA7F61">
        <w:rPr>
          <w:b/>
        </w:rPr>
        <w:t>8</w:t>
      </w:r>
      <w:r w:rsidR="00E85775" w:rsidRPr="005B1CE1">
        <w:rPr>
          <w:b/>
        </w:rPr>
        <w:t>.3</w:t>
      </w:r>
      <w:r w:rsidR="00E85775" w:rsidRPr="00E85775">
        <w:t>. Le titulaire garantit la personne publique contre les sinistres ayant leur origine dans le matériel qu'il fournit ou dans les agissements de ses préposés et affectant les locaux où ce matériel, y compris contre le recours des voisins.</w:t>
      </w:r>
    </w:p>
    <w:p w14:paraId="2D095E7C" w14:textId="77777777" w:rsidR="00E85775" w:rsidRPr="00E85775" w:rsidRDefault="00E85775" w:rsidP="00C7548A"/>
    <w:p w14:paraId="5B7A781D" w14:textId="68ED1C7A" w:rsidR="00E85775" w:rsidRPr="00E85775" w:rsidRDefault="005B1CE1" w:rsidP="000F7994">
      <w:pPr>
        <w:pStyle w:val="Titre2"/>
      </w:pPr>
      <w:bookmarkStart w:id="119" w:name="_Toc507666625"/>
      <w:bookmarkStart w:id="120" w:name="_Toc50109562"/>
      <w:bookmarkStart w:id="121" w:name="_Toc50113990"/>
      <w:bookmarkStart w:id="122" w:name="_Toc207979746"/>
      <w:r>
        <w:t>6.</w:t>
      </w:r>
      <w:r w:rsidR="00CA7F61">
        <w:rPr>
          <w:lang w:val="fr-FR"/>
        </w:rPr>
        <w:t>9</w:t>
      </w:r>
      <w:r w:rsidR="00E85775" w:rsidRPr="00E85775">
        <w:t>. Assurance.</w:t>
      </w:r>
      <w:bookmarkEnd w:id="119"/>
      <w:bookmarkEnd w:id="120"/>
      <w:bookmarkEnd w:id="121"/>
      <w:bookmarkEnd w:id="122"/>
    </w:p>
    <w:p w14:paraId="045EE2CE" w14:textId="77777777" w:rsidR="00E85775" w:rsidRPr="00E85775" w:rsidRDefault="00E85775" w:rsidP="00C7548A"/>
    <w:p w14:paraId="472FAC63" w14:textId="03E86822" w:rsidR="00E85775" w:rsidRPr="00E85775" w:rsidRDefault="00CA7F61" w:rsidP="00C7548A">
      <w:r>
        <w:rPr>
          <w:b/>
        </w:rPr>
        <w:t>6.9</w:t>
      </w:r>
      <w:r w:rsidR="00E85775" w:rsidRPr="005B1CE1">
        <w:rPr>
          <w:b/>
        </w:rPr>
        <w:t>.1</w:t>
      </w:r>
      <w:r w:rsidR="00E85775" w:rsidRPr="00E85775">
        <w:t>. Conformément aux dispositions de l'article 9</w:t>
      </w:r>
      <w:r w:rsidR="005F5BF1">
        <w:t>.1</w:t>
      </w:r>
      <w:r w:rsidR="00E85775" w:rsidRPr="00E85775">
        <w:t xml:space="preserve"> du </w:t>
      </w:r>
      <w:r w:rsidR="00D166AE" w:rsidRPr="00D166AE">
        <w:t>CCAG/PI</w:t>
      </w:r>
      <w:r w:rsidR="00D166AE">
        <w:t>,</w:t>
      </w:r>
      <w:r w:rsidR="00D166AE" w:rsidRPr="00E85775">
        <w:t xml:space="preserve"> </w:t>
      </w:r>
      <w:r w:rsidR="00E85775" w:rsidRPr="00E85775">
        <w:t xml:space="preserve">le titulaire doit contracter les assurances permettant de garantir sa responsabilité à l'égard </w:t>
      </w:r>
      <w:r w:rsidR="00152248">
        <w:t>de l’acheteur</w:t>
      </w:r>
      <w:r w:rsidR="00152248" w:rsidRPr="00E85775">
        <w:t xml:space="preserve"> </w:t>
      </w:r>
      <w:r w:rsidR="00E85775" w:rsidRPr="00E85775">
        <w:t>et des tiers, victimes d'accidents ou de dommages causés par l'exécution des prestations.</w:t>
      </w:r>
    </w:p>
    <w:p w14:paraId="0AF52A9C" w14:textId="77777777" w:rsidR="00E85775" w:rsidRPr="00E85775" w:rsidRDefault="00E85775" w:rsidP="00C7548A"/>
    <w:p w14:paraId="7A705193" w14:textId="1B6A4173" w:rsidR="00E85775" w:rsidRPr="00E85775" w:rsidRDefault="00E85775" w:rsidP="00C7548A">
      <w:r w:rsidRPr="005B1CE1">
        <w:rPr>
          <w:b/>
        </w:rPr>
        <w:t>6.</w:t>
      </w:r>
      <w:r w:rsidR="00CA7F61">
        <w:rPr>
          <w:b/>
        </w:rPr>
        <w:t>9</w:t>
      </w:r>
      <w:r w:rsidRPr="005B1CE1">
        <w:rPr>
          <w:b/>
        </w:rPr>
        <w:t>.2</w:t>
      </w:r>
      <w:r w:rsidRPr="00E85775">
        <w:t xml:space="preserve">. </w:t>
      </w:r>
      <w:r w:rsidRPr="004726AC">
        <w:t>Conformément aux dispositions de</w:t>
      </w:r>
      <w:r w:rsidRPr="00E85775">
        <w:rPr>
          <w:b/>
          <w:color w:val="FF0000"/>
        </w:rPr>
        <w:t xml:space="preserve"> </w:t>
      </w:r>
      <w:r w:rsidRPr="00E85775">
        <w:t xml:space="preserve">l’article 9.2 du </w:t>
      </w:r>
      <w:r w:rsidR="00D166AE" w:rsidRPr="00D166AE">
        <w:t>CCAG/PI</w:t>
      </w:r>
      <w:r w:rsidR="00D166AE">
        <w:t>,</w:t>
      </w:r>
      <w:r w:rsidR="00D166AE" w:rsidRPr="00E85775">
        <w:t xml:space="preserve"> </w:t>
      </w:r>
      <w:r w:rsidRPr="00E85775">
        <w:t xml:space="preserve">il doit justifier dans un délai de quinze jours à compter de la notification </w:t>
      </w:r>
      <w:r w:rsidR="0037147F">
        <w:t>de l’accord-cadre</w:t>
      </w:r>
      <w:r w:rsidRPr="00E85775">
        <w:t xml:space="preserve"> et avant tout début d'exécution de celui-ci, qu'il est titulaire de ces contrats d'assurances, au moyen d'une attestation établissant l'étendue de la responsabilité de la garantie.</w:t>
      </w:r>
    </w:p>
    <w:p w14:paraId="41F6695E" w14:textId="77777777" w:rsidR="00E85775" w:rsidRPr="00E85775" w:rsidRDefault="00E85775" w:rsidP="00C7548A"/>
    <w:p w14:paraId="25350375" w14:textId="77777777" w:rsidR="00E85775" w:rsidRPr="00E85775" w:rsidRDefault="00E85775" w:rsidP="00C7548A">
      <w:r w:rsidRPr="00E85775">
        <w:t xml:space="preserve">A tout moment durant l'exécution </w:t>
      </w:r>
      <w:r w:rsidR="0037147F">
        <w:t>de l’accord-cadre</w:t>
      </w:r>
      <w:r w:rsidRPr="00E85775">
        <w:t xml:space="preserve">, le titulaire doit être en mesure de produire cette attestation, sur demande </w:t>
      </w:r>
      <w:r w:rsidR="005C51D5">
        <w:t>de l’acheteur</w:t>
      </w:r>
      <w:r w:rsidRPr="00E85775">
        <w:t xml:space="preserve"> et dans un délai de quinze</w:t>
      </w:r>
      <w:r w:rsidR="00152248">
        <w:t xml:space="preserve"> (15)</w:t>
      </w:r>
      <w:r w:rsidRPr="00E85775">
        <w:t xml:space="preserve"> jours à compter de la réception de la demande.</w:t>
      </w:r>
    </w:p>
    <w:p w14:paraId="2D61FD2C" w14:textId="3246CB6A" w:rsidR="00E85775" w:rsidRPr="00CD502D" w:rsidRDefault="00E85775" w:rsidP="00CD502D">
      <w:pPr>
        <w:pStyle w:val="Titre1"/>
        <w:keepLines/>
        <w:numPr>
          <w:ilvl w:val="0"/>
          <w:numId w:val="0"/>
        </w:numPr>
        <w:spacing w:before="240" w:after="0"/>
        <w:rPr>
          <w:rFonts w:ascii="Arial" w:hAnsi="Arial" w:cs="Arial"/>
          <w:sz w:val="22"/>
          <w:szCs w:val="22"/>
        </w:rPr>
      </w:pPr>
      <w:bookmarkStart w:id="123" w:name="_Toc507666626"/>
      <w:bookmarkStart w:id="124" w:name="_Toc50109563"/>
      <w:bookmarkStart w:id="125" w:name="_Toc50113991"/>
      <w:bookmarkStart w:id="126" w:name="_Toc207979747"/>
      <w:r w:rsidRPr="00CD502D">
        <w:rPr>
          <w:rFonts w:ascii="Arial" w:hAnsi="Arial" w:cs="Arial"/>
          <w:sz w:val="22"/>
          <w:szCs w:val="22"/>
        </w:rPr>
        <w:t>ARTICLE 7 - SOUS-TRAITANCE DE PRESTATIONS.</w:t>
      </w:r>
      <w:bookmarkEnd w:id="123"/>
      <w:bookmarkEnd w:id="124"/>
      <w:bookmarkEnd w:id="125"/>
      <w:bookmarkEnd w:id="126"/>
    </w:p>
    <w:p w14:paraId="233A3FC7" w14:textId="77777777" w:rsidR="00E85775" w:rsidRPr="00E85775" w:rsidRDefault="00E85775" w:rsidP="00C7548A"/>
    <w:p w14:paraId="0CAD7104" w14:textId="77777777" w:rsidR="00E85775" w:rsidRPr="00E85775" w:rsidRDefault="00E85775" w:rsidP="000F7994">
      <w:pPr>
        <w:pStyle w:val="Titre2"/>
      </w:pPr>
      <w:bookmarkStart w:id="127" w:name="_Toc507666627"/>
      <w:bookmarkStart w:id="128" w:name="_Toc50109564"/>
      <w:bookmarkStart w:id="129" w:name="_Toc207979748"/>
      <w:r w:rsidRPr="00E85775">
        <w:t>7.1. Généralités.</w:t>
      </w:r>
      <w:bookmarkEnd w:id="127"/>
      <w:bookmarkEnd w:id="128"/>
      <w:bookmarkEnd w:id="129"/>
    </w:p>
    <w:p w14:paraId="74D55102" w14:textId="77777777" w:rsidR="00E85775" w:rsidRPr="00E85775" w:rsidRDefault="00E85775" w:rsidP="00C7548A"/>
    <w:p w14:paraId="3691C086" w14:textId="77777777" w:rsidR="00E85775" w:rsidRPr="00E85775" w:rsidRDefault="00B54250" w:rsidP="00C7548A">
      <w:r>
        <w:t>Conformément à l’article 3.</w:t>
      </w:r>
      <w:r w:rsidRPr="00BC4C61">
        <w:rPr>
          <w:color w:val="000000" w:themeColor="text1"/>
        </w:rPr>
        <w:t xml:space="preserve">6 du CCAG/PI, le titulaire </w:t>
      </w:r>
      <w:r w:rsidRPr="00E85775">
        <w:t xml:space="preserve">peut sous-traiter l’exécution de certaines parties de son </w:t>
      </w:r>
      <w:r>
        <w:t>accord-cadre</w:t>
      </w:r>
      <w:r w:rsidRPr="00E85775">
        <w:t xml:space="preserve">, sous réserve de l’acceptation </w:t>
      </w:r>
      <w:r>
        <w:t xml:space="preserve">du ou des sous-traitants par l’acheteur désigné à l’article 5.1 </w:t>
      </w:r>
      <w:r w:rsidRPr="00E85775">
        <w:t>et de l’agrément par lui des conditions de paiement de chaque contrat de sous-traitance</w:t>
      </w:r>
      <w:r w:rsidR="00E85775" w:rsidRPr="00E85775">
        <w:t>.</w:t>
      </w:r>
    </w:p>
    <w:p w14:paraId="1093A5D5" w14:textId="77777777" w:rsidR="00E85775" w:rsidRPr="00E85775" w:rsidRDefault="00E85775" w:rsidP="00C7548A"/>
    <w:p w14:paraId="0B4D84FE" w14:textId="77777777" w:rsidR="00E85775" w:rsidRPr="00E85775" w:rsidRDefault="00E85775" w:rsidP="00C7548A">
      <w:r w:rsidRPr="00E85775">
        <w:t xml:space="preserve">En application des articles L. 2193-1 à L. 2193-14 et R. 2193-1 à R. 2193-22 du code de la commande publique, le sous-traitant doit remplir les conditions prévues par ces articles. </w:t>
      </w:r>
    </w:p>
    <w:p w14:paraId="37F3C8FC" w14:textId="77777777" w:rsidR="00E85775" w:rsidRPr="00E85775" w:rsidRDefault="00E85775" w:rsidP="00C7548A"/>
    <w:p w14:paraId="1E7234AE" w14:textId="77777777" w:rsidR="00E85775" w:rsidRPr="00E85775" w:rsidRDefault="00E85775" w:rsidP="00C7548A">
      <w:r w:rsidRPr="00E85775">
        <w:t xml:space="preserve">En cas de sous-traitance, le titulaire garantit que les contrats passés avec ses éventuels sous-traitants tiennent compte des obligations nées du présent </w:t>
      </w:r>
      <w:r w:rsidR="00B54250">
        <w:t>accord-cadre</w:t>
      </w:r>
      <w:r w:rsidRPr="00E85775">
        <w:t>.</w:t>
      </w:r>
    </w:p>
    <w:p w14:paraId="1E5BB57B" w14:textId="77777777" w:rsidR="00E85775" w:rsidRPr="00E85775" w:rsidRDefault="00E85775" w:rsidP="00C7548A"/>
    <w:p w14:paraId="3F4DE0FD" w14:textId="77777777" w:rsidR="00E85775" w:rsidRPr="00E85775" w:rsidRDefault="00A87FAB" w:rsidP="00C7548A">
      <w:r>
        <w:t>L’acheteur</w:t>
      </w:r>
      <w:r w:rsidR="00E85775" w:rsidRPr="00E85775">
        <w:t xml:space="preserve"> peut, s’il le souhaite, demander communication du contrat de sous-traitance au moment de la présentation du sous-traitant et en intégrer certains aspects dans l’acte spécial de sous-traitance.</w:t>
      </w:r>
    </w:p>
    <w:p w14:paraId="29BD1152" w14:textId="77777777" w:rsidR="00E85775" w:rsidRPr="00E85775" w:rsidRDefault="00E85775" w:rsidP="00C7548A"/>
    <w:p w14:paraId="554E2E3C" w14:textId="77777777" w:rsidR="00E85775" w:rsidRPr="00E85775" w:rsidRDefault="00E85775" w:rsidP="00C7548A">
      <w:pPr>
        <w:rPr>
          <w:strike/>
        </w:rPr>
      </w:pPr>
      <w:r w:rsidRPr="00E85775">
        <w:t xml:space="preserve">Conformément aux dispositions de l’article R. 2193-9 du code de la commande publique, lorsque le montant de la sous-traitance apparaît anormalement bas, </w:t>
      </w:r>
      <w:r w:rsidR="00A87FAB">
        <w:t>l’acheteur</w:t>
      </w:r>
      <w:r w:rsidRPr="00E85775">
        <w:t xml:space="preserve"> met en œuvre les dispositions des articles R. 2152-3 à R. 2152-5 du même code. </w:t>
      </w:r>
    </w:p>
    <w:p w14:paraId="33509D86" w14:textId="77777777" w:rsidR="00E85775" w:rsidRPr="00E85775" w:rsidRDefault="00E85775" w:rsidP="00C7548A"/>
    <w:p w14:paraId="36B7DC78" w14:textId="77777777" w:rsidR="00E85775" w:rsidRPr="00E85775" w:rsidRDefault="00E85775" w:rsidP="000F7994">
      <w:pPr>
        <w:pStyle w:val="Titre2"/>
      </w:pPr>
      <w:bookmarkStart w:id="130" w:name="_Toc507666628"/>
      <w:bookmarkStart w:id="131" w:name="_Toc50109565"/>
      <w:bookmarkStart w:id="132" w:name="_Toc207979749"/>
      <w:r w:rsidRPr="00E85775">
        <w:t xml:space="preserve">7.2. Déclaration de sous-traitance avant notification </w:t>
      </w:r>
      <w:r w:rsidR="0037147F">
        <w:t>de l’accord-cadre</w:t>
      </w:r>
      <w:r w:rsidRPr="00E85775">
        <w:t>.</w:t>
      </w:r>
      <w:bookmarkEnd w:id="130"/>
      <w:bookmarkEnd w:id="131"/>
      <w:bookmarkEnd w:id="132"/>
    </w:p>
    <w:p w14:paraId="4691C9AD" w14:textId="77777777" w:rsidR="00E85775" w:rsidRPr="00E85775" w:rsidRDefault="00E85775" w:rsidP="00C7548A"/>
    <w:p w14:paraId="61F2C2C5" w14:textId="77777777" w:rsidR="00E85775" w:rsidRPr="00E85775" w:rsidRDefault="00E85775" w:rsidP="00C7548A">
      <w:r w:rsidRPr="00E85775">
        <w:t xml:space="preserve">La signature </w:t>
      </w:r>
      <w:r w:rsidR="0037147F">
        <w:t>de l’accord-cadre</w:t>
      </w:r>
      <w:r w:rsidRPr="00E85775">
        <w:t xml:space="preserve"> vaut acceptation des sous-traitants déclarés avant notification </w:t>
      </w:r>
      <w:r w:rsidR="0037147F">
        <w:t>de l’accord-cadre</w:t>
      </w:r>
      <w:r w:rsidRPr="00E85775">
        <w:t xml:space="preserve"> et agrément de leurs conditions de paiement.</w:t>
      </w:r>
    </w:p>
    <w:p w14:paraId="3926E000" w14:textId="77777777" w:rsidR="00E85775" w:rsidRPr="00E85775" w:rsidRDefault="00E85775" w:rsidP="00C7548A"/>
    <w:p w14:paraId="236C3113" w14:textId="77777777" w:rsidR="00E85775" w:rsidRPr="00E85775" w:rsidRDefault="00E85775" w:rsidP="000F7994">
      <w:pPr>
        <w:pStyle w:val="Titre2"/>
      </w:pPr>
      <w:bookmarkStart w:id="133" w:name="_Toc507666629"/>
      <w:bookmarkStart w:id="134" w:name="_Toc50109566"/>
      <w:bookmarkStart w:id="135" w:name="_Toc207979750"/>
      <w:r w:rsidRPr="00E85775">
        <w:t xml:space="preserve">7.3. Déclaration de sous-traitance après notification </w:t>
      </w:r>
      <w:r w:rsidR="0037147F">
        <w:t>de l’accord-cadre</w:t>
      </w:r>
      <w:r w:rsidRPr="00E85775">
        <w:t>.</w:t>
      </w:r>
      <w:bookmarkEnd w:id="133"/>
      <w:bookmarkEnd w:id="134"/>
      <w:bookmarkEnd w:id="135"/>
    </w:p>
    <w:p w14:paraId="08A36DEA" w14:textId="77777777" w:rsidR="00E85775" w:rsidRPr="00E85775" w:rsidRDefault="00E85775" w:rsidP="00C7548A"/>
    <w:p w14:paraId="00BC4C7B" w14:textId="096849EB" w:rsidR="00E85775" w:rsidRPr="00E85775" w:rsidRDefault="00E85775" w:rsidP="00C7548A">
      <w:r w:rsidRPr="00E85775">
        <w:t>Si un sous-tra</w:t>
      </w:r>
      <w:r w:rsidR="00A17320">
        <w:t>itant est introduit en cours de l’</w:t>
      </w:r>
      <w:r w:rsidR="004735BC">
        <w:t>accord-cadre</w:t>
      </w:r>
      <w:r w:rsidRPr="00E85775">
        <w:t>, le titulaire a l’obligation de le déclarer et de faire agréer ses conditions de paiement.</w:t>
      </w:r>
    </w:p>
    <w:p w14:paraId="52CEAD13" w14:textId="77777777" w:rsidR="00E85775" w:rsidRPr="00E85775" w:rsidRDefault="00E85775" w:rsidP="00C7548A"/>
    <w:p w14:paraId="5DD29A0D" w14:textId="40DE6DF8" w:rsidR="00E85775" w:rsidRPr="00E85775" w:rsidRDefault="00E85775" w:rsidP="00C7548A">
      <w:r w:rsidRPr="00E85775">
        <w:t xml:space="preserve">Les demandes d’acceptation de sous-traitants doivent être adressées par lettre recommandée avec avis de réception ou </w:t>
      </w:r>
      <w:r w:rsidR="0083565B">
        <w:t xml:space="preserve">courriel avec accusé de réception ou </w:t>
      </w:r>
      <w:r w:rsidRPr="00E85775">
        <w:t xml:space="preserve">remises contre récépissé </w:t>
      </w:r>
      <w:r w:rsidR="00B54250">
        <w:t>à l’acheteur désigné à l’article 5.1</w:t>
      </w:r>
      <w:r w:rsidR="00DB43E4">
        <w:t>.1</w:t>
      </w:r>
      <w:r w:rsidR="00B54250" w:rsidRPr="00E85775">
        <w:t xml:space="preserve"> ou son représentant</w:t>
      </w:r>
      <w:r w:rsidRPr="00E85775">
        <w:t>.</w:t>
      </w:r>
    </w:p>
    <w:p w14:paraId="736CDC75" w14:textId="77777777" w:rsidR="00E85775" w:rsidRPr="00E85775" w:rsidRDefault="00E85775" w:rsidP="00C7548A"/>
    <w:p w14:paraId="7D11E854" w14:textId="39BBFBA5" w:rsidR="00B870A3" w:rsidRPr="00904A82" w:rsidRDefault="00904A82" w:rsidP="00C7548A">
      <w:r w:rsidRPr="00904A82">
        <w:t>A cette fin, le titulaire adresse une « Déclaration de sous-traitant »</w:t>
      </w:r>
      <w:r w:rsidRPr="00B54250">
        <w:rPr>
          <w:i/>
          <w:color w:val="000000" w:themeColor="text1"/>
        </w:rPr>
        <w:t>.</w:t>
      </w:r>
      <w:r w:rsidRPr="00B54250">
        <w:rPr>
          <w:color w:val="000000" w:themeColor="text1"/>
        </w:rPr>
        <w:t xml:space="preserve"> </w:t>
      </w:r>
      <w:r w:rsidRPr="00904A82">
        <w:t xml:space="preserve">Cette déclaration comprend les renseignements figurant à l’article R. 2193-1 du code de la commande publique. </w:t>
      </w:r>
    </w:p>
    <w:p w14:paraId="1C158663" w14:textId="77777777" w:rsidR="00904A82" w:rsidRPr="00904A82" w:rsidRDefault="00904A82" w:rsidP="00C7548A"/>
    <w:p w14:paraId="00D15531" w14:textId="77777777" w:rsidR="00E85775" w:rsidRPr="00E85775" w:rsidRDefault="00E85775" w:rsidP="000F7994">
      <w:pPr>
        <w:pStyle w:val="Titre2"/>
      </w:pPr>
      <w:bookmarkStart w:id="136" w:name="_Toc507666630"/>
      <w:bookmarkStart w:id="137" w:name="_Toc50109567"/>
      <w:bookmarkStart w:id="138" w:name="_Toc207979751"/>
      <w:r w:rsidRPr="00E85775">
        <w:t xml:space="preserve">7.4. Responsabilité du titulaire envers </w:t>
      </w:r>
      <w:r w:rsidR="00A87FAB">
        <w:t>l’acheteur</w:t>
      </w:r>
      <w:r w:rsidRPr="00E85775">
        <w:t xml:space="preserve"> et le sous-traitant.</w:t>
      </w:r>
      <w:bookmarkEnd w:id="136"/>
      <w:bookmarkEnd w:id="137"/>
      <w:bookmarkEnd w:id="138"/>
    </w:p>
    <w:p w14:paraId="79BDE861" w14:textId="77777777" w:rsidR="00E85775" w:rsidRPr="00E85775" w:rsidRDefault="00E85775" w:rsidP="00C7548A"/>
    <w:p w14:paraId="0588B832" w14:textId="51854848" w:rsidR="00E85775" w:rsidRPr="00E85775" w:rsidRDefault="00E85775" w:rsidP="00C7548A">
      <w:r w:rsidRPr="00E85775">
        <w:t>Le titulaire a recours à la sous-traitance sous sa responsabilité et demeure personnellement responsable de l'exécution devant le maître d'ouvrage de toutes les obligations de celui-ci (articles L. 2193-1 à L. 2193-14 et R. 2193-1 à R. 2193-22 du code de la commande publique)</w:t>
      </w:r>
      <w:r w:rsidR="005F5BF1">
        <w:t>.</w:t>
      </w:r>
      <w:r w:rsidRPr="00E85775">
        <w:t xml:space="preserve"> </w:t>
      </w:r>
    </w:p>
    <w:p w14:paraId="690F04D8" w14:textId="77777777" w:rsidR="00E85775" w:rsidRPr="00E85775" w:rsidRDefault="00E85775" w:rsidP="00C7548A"/>
    <w:p w14:paraId="0039B288" w14:textId="77777777" w:rsidR="00E85775" w:rsidRPr="00E85775" w:rsidRDefault="00E85775" w:rsidP="00C7548A">
      <w:r w:rsidRPr="00E85775">
        <w:lastRenderedPageBreak/>
        <w:t>Il répond notamment des fautes ou malfaçons commises par son sous-traitant.</w:t>
      </w:r>
    </w:p>
    <w:p w14:paraId="4082B9A3" w14:textId="77777777" w:rsidR="00E85775" w:rsidRPr="00E85775" w:rsidRDefault="00E85775" w:rsidP="00C7548A"/>
    <w:p w14:paraId="72187ED3" w14:textId="77777777" w:rsidR="00E85775" w:rsidRPr="00E85775" w:rsidRDefault="00E85775" w:rsidP="00C7548A">
      <w:r w:rsidRPr="00E85775">
        <w:t xml:space="preserve">Le titulaire </w:t>
      </w:r>
      <w:r w:rsidR="0037147F">
        <w:t>de l’accord-cadre</w:t>
      </w:r>
      <w:r w:rsidRPr="00E85775">
        <w:t xml:space="preserve"> reste intégralement tenu envers son sous-traitant qui n'aurait pas été agréé et il doit s’acquitter de ses obligations contractuelles, notamment financières à son égard.</w:t>
      </w:r>
    </w:p>
    <w:p w14:paraId="30C6605C" w14:textId="77777777" w:rsidR="00E85775" w:rsidRPr="00E85775" w:rsidRDefault="00E85775" w:rsidP="00C7548A"/>
    <w:p w14:paraId="456B7F11" w14:textId="77777777" w:rsidR="00E85775" w:rsidRPr="00E85775" w:rsidRDefault="00E85775" w:rsidP="000F7994">
      <w:pPr>
        <w:pStyle w:val="Titre2"/>
      </w:pPr>
      <w:bookmarkStart w:id="139" w:name="_Toc507666631"/>
      <w:bookmarkStart w:id="140" w:name="_Toc50109568"/>
      <w:bookmarkStart w:id="141" w:name="_Toc207979752"/>
      <w:r w:rsidRPr="00E85775">
        <w:t>7.5. Modification dans la répartition entre titulaire et sous-traitant.</w:t>
      </w:r>
      <w:bookmarkEnd w:id="139"/>
      <w:bookmarkEnd w:id="140"/>
      <w:bookmarkEnd w:id="141"/>
    </w:p>
    <w:p w14:paraId="47F67A41" w14:textId="77777777" w:rsidR="00E85775" w:rsidRPr="00E85775" w:rsidRDefault="00E85775" w:rsidP="00C7548A"/>
    <w:p w14:paraId="55BCE99A" w14:textId="77777777" w:rsidR="00E85775" w:rsidRPr="00E85775" w:rsidRDefault="00E85775" w:rsidP="00C7548A">
      <w:r w:rsidRPr="00E85775">
        <w:t>Toute modification dans la répartition entre titulaire et sous-traitant doit faire l'objet d'un acte spécial modificatif.</w:t>
      </w:r>
    </w:p>
    <w:p w14:paraId="7A750B45" w14:textId="55BB4176" w:rsidR="00E85775" w:rsidRPr="00CD502D" w:rsidRDefault="00E85775" w:rsidP="00CD502D">
      <w:pPr>
        <w:pStyle w:val="Titre1"/>
        <w:keepLines/>
        <w:numPr>
          <w:ilvl w:val="0"/>
          <w:numId w:val="0"/>
        </w:numPr>
        <w:spacing w:before="240" w:after="0"/>
        <w:rPr>
          <w:rFonts w:ascii="Arial" w:hAnsi="Arial" w:cs="Arial"/>
          <w:sz w:val="22"/>
          <w:szCs w:val="22"/>
        </w:rPr>
      </w:pPr>
      <w:bookmarkStart w:id="142" w:name="_Toc507666632"/>
      <w:bookmarkStart w:id="143" w:name="_Toc50109569"/>
      <w:bookmarkStart w:id="144" w:name="_Toc207979753"/>
      <w:bookmarkStart w:id="145" w:name="_Toc116463848"/>
      <w:bookmarkStart w:id="146" w:name="_Toc228779097"/>
      <w:bookmarkStart w:id="147" w:name="_Toc293670219"/>
      <w:bookmarkStart w:id="148" w:name="_Toc507666667"/>
      <w:r w:rsidRPr="00FF08A8">
        <w:rPr>
          <w:rFonts w:ascii="Arial" w:hAnsi="Arial" w:cs="Arial"/>
          <w:sz w:val="22"/>
          <w:szCs w:val="22"/>
        </w:rPr>
        <w:t>ARTICLE 8 – LIVRABLES.</w:t>
      </w:r>
      <w:bookmarkEnd w:id="142"/>
      <w:bookmarkEnd w:id="143"/>
      <w:bookmarkEnd w:id="144"/>
    </w:p>
    <w:p w14:paraId="37882056" w14:textId="3D31E45A" w:rsidR="00A861B7" w:rsidRDefault="00A861B7" w:rsidP="00D166AE"/>
    <w:p w14:paraId="3FCFC7AC" w14:textId="792A9C4E" w:rsidR="00A861B7" w:rsidRPr="009F0863" w:rsidRDefault="00EF7408" w:rsidP="00D166AE">
      <w:r w:rsidRPr="009F0863">
        <w:rPr>
          <w:b/>
        </w:rPr>
        <w:t>Au titre des postes forfaitaires, p</w:t>
      </w:r>
      <w:r w:rsidR="00A861B7" w:rsidRPr="009F0863">
        <w:rPr>
          <w:b/>
        </w:rPr>
        <w:t>our chaque période</w:t>
      </w:r>
      <w:r w:rsidR="00FC5474" w:rsidRPr="009F0863">
        <w:rPr>
          <w:b/>
        </w:rPr>
        <w:t xml:space="preserve"> d’exécution</w:t>
      </w:r>
      <w:r w:rsidRPr="009F0863">
        <w:t>, l’ensemble des documents à fournir par le titulaire au titre de l’accord-cadre est transmis dans les délais indiqués ci-dessous</w:t>
      </w:r>
      <w:r w:rsidR="00A861B7" w:rsidRPr="009F0863">
        <w:t> :</w:t>
      </w:r>
    </w:p>
    <w:p w14:paraId="14F1489D" w14:textId="77777777" w:rsidR="00D166AE" w:rsidRPr="009E79BF" w:rsidRDefault="00D166AE" w:rsidP="00D166AE"/>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1396"/>
        <w:gridCol w:w="4394"/>
        <w:gridCol w:w="3119"/>
      </w:tblGrid>
      <w:tr w:rsidR="00B36F21" w:rsidRPr="009E79BF" w14:paraId="0B6678A8" w14:textId="77777777" w:rsidTr="009F0863">
        <w:trPr>
          <w:tblHeader/>
        </w:trPr>
        <w:tc>
          <w:tcPr>
            <w:tcW w:w="872" w:type="dxa"/>
            <w:shd w:val="clear" w:color="auto" w:fill="9CC2E5" w:themeFill="accent5" w:themeFillTint="99"/>
            <w:vAlign w:val="center"/>
          </w:tcPr>
          <w:p w14:paraId="5C905770" w14:textId="511DAD7E" w:rsidR="00B36F21" w:rsidRPr="00E73B45" w:rsidRDefault="00B36F21" w:rsidP="00E73B45">
            <w:pPr>
              <w:spacing w:before="60" w:after="60"/>
              <w:jc w:val="center"/>
              <w:rPr>
                <w:rFonts w:cs="Arial"/>
                <w:b/>
              </w:rPr>
            </w:pPr>
            <w:r w:rsidRPr="00E73B45">
              <w:rPr>
                <w:rFonts w:cs="Arial"/>
                <w:b/>
              </w:rPr>
              <w:t>Poste</w:t>
            </w:r>
            <w:r w:rsidR="005F5BF1" w:rsidRPr="00E73B45">
              <w:rPr>
                <w:rFonts w:cs="Arial"/>
                <w:b/>
              </w:rPr>
              <w:t>s</w:t>
            </w:r>
          </w:p>
        </w:tc>
        <w:tc>
          <w:tcPr>
            <w:tcW w:w="1396" w:type="dxa"/>
            <w:shd w:val="clear" w:color="auto" w:fill="9CC2E5" w:themeFill="accent5" w:themeFillTint="99"/>
            <w:vAlign w:val="center"/>
          </w:tcPr>
          <w:p w14:paraId="6699EF61" w14:textId="11937F31" w:rsidR="00B36F21" w:rsidRPr="00E73B45" w:rsidRDefault="00B36F21" w:rsidP="00E73B45">
            <w:pPr>
              <w:spacing w:before="60" w:after="60"/>
              <w:jc w:val="center"/>
              <w:rPr>
                <w:rFonts w:cs="Arial"/>
                <w:b/>
              </w:rPr>
            </w:pPr>
            <w:r w:rsidRPr="00E73B45">
              <w:rPr>
                <w:rFonts w:cs="Arial"/>
                <w:b/>
              </w:rPr>
              <w:t>Numéro du livrable</w:t>
            </w:r>
          </w:p>
        </w:tc>
        <w:tc>
          <w:tcPr>
            <w:tcW w:w="4394" w:type="dxa"/>
            <w:shd w:val="clear" w:color="auto" w:fill="9CC2E5" w:themeFill="accent5" w:themeFillTint="99"/>
            <w:vAlign w:val="center"/>
          </w:tcPr>
          <w:p w14:paraId="077B63F0" w14:textId="497645B6" w:rsidR="00B36F21" w:rsidRPr="00E73B45" w:rsidRDefault="00B36F21" w:rsidP="00E73B45">
            <w:pPr>
              <w:spacing w:before="60" w:after="60"/>
              <w:jc w:val="center"/>
              <w:rPr>
                <w:rFonts w:cs="Arial"/>
                <w:b/>
              </w:rPr>
            </w:pPr>
            <w:r w:rsidRPr="00E73B45">
              <w:rPr>
                <w:rFonts w:cs="Arial"/>
                <w:b/>
              </w:rPr>
              <w:t>Livrable</w:t>
            </w:r>
            <w:r w:rsidR="00521CA2">
              <w:rPr>
                <w:rFonts w:cs="Arial"/>
                <w:b/>
              </w:rPr>
              <w:t>s</w:t>
            </w:r>
          </w:p>
        </w:tc>
        <w:tc>
          <w:tcPr>
            <w:tcW w:w="3119" w:type="dxa"/>
            <w:shd w:val="clear" w:color="auto" w:fill="9CC2E5" w:themeFill="accent5" w:themeFillTint="99"/>
            <w:vAlign w:val="center"/>
          </w:tcPr>
          <w:p w14:paraId="23B5AACE" w14:textId="76C7B457" w:rsidR="00B36F21" w:rsidRPr="00E73B45" w:rsidRDefault="00B36F21" w:rsidP="00521CA2">
            <w:pPr>
              <w:spacing w:before="60" w:after="60"/>
              <w:jc w:val="center"/>
              <w:rPr>
                <w:rFonts w:cs="Arial"/>
                <w:b/>
              </w:rPr>
            </w:pPr>
            <w:r w:rsidRPr="00E73B45">
              <w:rPr>
                <w:rFonts w:cs="Arial"/>
                <w:b/>
              </w:rPr>
              <w:t>Echéance</w:t>
            </w:r>
            <w:r w:rsidR="00E22797" w:rsidRPr="00E73B45">
              <w:rPr>
                <w:rFonts w:cs="Arial"/>
                <w:b/>
              </w:rPr>
              <w:t xml:space="preserve"> ou délais maximum (en mois et/jours calendaires)</w:t>
            </w:r>
          </w:p>
        </w:tc>
      </w:tr>
      <w:tr w:rsidR="0025346A" w:rsidRPr="009E79BF" w14:paraId="33E0576A" w14:textId="77777777" w:rsidTr="009F0863">
        <w:tc>
          <w:tcPr>
            <w:tcW w:w="872" w:type="dxa"/>
            <w:vMerge w:val="restart"/>
            <w:vAlign w:val="center"/>
          </w:tcPr>
          <w:p w14:paraId="308C30F6" w14:textId="18CB09FB" w:rsidR="0025346A" w:rsidRPr="00EF7408" w:rsidRDefault="0025346A" w:rsidP="00E73B45">
            <w:pPr>
              <w:pStyle w:val="Corpsdetexte2"/>
              <w:spacing w:before="60" w:after="60" w:line="240" w:lineRule="auto"/>
              <w:jc w:val="center"/>
              <w:rPr>
                <w:rStyle w:val="Emphaseintense"/>
                <w:rFonts w:ascii="Arial" w:hAnsi="Arial" w:cs="Arial"/>
                <w:b/>
                <w:i w:val="0"/>
                <w:color w:val="000000" w:themeColor="text1"/>
              </w:rPr>
            </w:pPr>
            <w:r w:rsidRPr="00EF7408">
              <w:rPr>
                <w:rStyle w:val="Emphaseintense"/>
                <w:rFonts w:ascii="Arial" w:hAnsi="Arial" w:cs="Arial"/>
                <w:b/>
                <w:i w:val="0"/>
                <w:color w:val="000000" w:themeColor="text1"/>
              </w:rPr>
              <w:t>PF1</w:t>
            </w:r>
          </w:p>
        </w:tc>
        <w:tc>
          <w:tcPr>
            <w:tcW w:w="1396" w:type="dxa"/>
            <w:vAlign w:val="center"/>
          </w:tcPr>
          <w:p w14:paraId="0D3F2137" w14:textId="5B57170A" w:rsidR="0025346A" w:rsidRDefault="0025346A" w:rsidP="00E73B45">
            <w:pPr>
              <w:pStyle w:val="Corpsdetexte2"/>
              <w:spacing w:before="60" w:after="6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F1.y.z</w:t>
            </w:r>
          </w:p>
        </w:tc>
        <w:tc>
          <w:tcPr>
            <w:tcW w:w="4394" w:type="dxa"/>
            <w:vAlign w:val="center"/>
          </w:tcPr>
          <w:p w14:paraId="49E9F846" w14:textId="129534CC" w:rsidR="0025346A" w:rsidDel="00153983" w:rsidRDefault="0025346A" w:rsidP="00153983">
            <w:pPr>
              <w:pStyle w:val="Corpsdetexte2"/>
              <w:spacing w:before="60" w:after="60" w:line="240" w:lineRule="auto"/>
              <w:jc w:val="center"/>
              <w:rPr>
                <w:rFonts w:ascii="Arial" w:hAnsi="Arial" w:cs="Arial"/>
                <w:iCs/>
                <w:color w:val="000000" w:themeColor="text1"/>
              </w:rPr>
            </w:pPr>
            <w:r>
              <w:rPr>
                <w:rFonts w:ascii="Arial" w:hAnsi="Arial" w:cs="Arial"/>
                <w:iCs/>
                <w:color w:val="000000" w:themeColor="text1"/>
              </w:rPr>
              <w:t>Quatre (4) projets de note</w:t>
            </w:r>
            <w:r w:rsidR="00593F80">
              <w:rPr>
                <w:rFonts w:ascii="Arial" w:hAnsi="Arial" w:cs="Arial"/>
                <w:iCs/>
                <w:color w:val="000000" w:themeColor="text1"/>
              </w:rPr>
              <w:t>s</w:t>
            </w:r>
            <w:r>
              <w:rPr>
                <w:rFonts w:ascii="Arial" w:hAnsi="Arial" w:cs="Arial"/>
                <w:iCs/>
                <w:color w:val="000000" w:themeColor="text1"/>
              </w:rPr>
              <w:t xml:space="preserve"> de recherche</w:t>
            </w:r>
          </w:p>
        </w:tc>
        <w:tc>
          <w:tcPr>
            <w:tcW w:w="3119" w:type="dxa"/>
            <w:vAlign w:val="center"/>
          </w:tcPr>
          <w:p w14:paraId="40AF43BA" w14:textId="04D58E51" w:rsidR="00FF08A8" w:rsidRDefault="00FF08A8" w:rsidP="00FF08A8">
            <w:pPr>
              <w:spacing w:before="60" w:after="60"/>
              <w:jc w:val="center"/>
              <w:rPr>
                <w:rStyle w:val="Emphaseintense"/>
                <w:rFonts w:cs="Arial"/>
                <w:i w:val="0"/>
                <w:color w:val="000000" w:themeColor="text1"/>
              </w:rPr>
            </w:pPr>
            <w:r>
              <w:rPr>
                <w:rStyle w:val="Emphaseintense"/>
                <w:rFonts w:cs="Arial"/>
                <w:i w:val="0"/>
                <w:color w:val="000000" w:themeColor="text1"/>
              </w:rPr>
              <w:t>T</w:t>
            </w:r>
            <w:r w:rsidRPr="00D9105C">
              <w:rPr>
                <w:rStyle w:val="Emphaseintense"/>
                <w:rFonts w:cs="Arial"/>
                <w:i w:val="0"/>
                <w:color w:val="000000" w:themeColor="text1"/>
                <w:vertAlign w:val="subscript"/>
              </w:rPr>
              <w:t>0/X</w:t>
            </w:r>
            <w:r>
              <w:rPr>
                <w:rStyle w:val="Emphaseintense"/>
                <w:rFonts w:cs="Arial"/>
                <w:i w:val="0"/>
                <w:color w:val="000000" w:themeColor="text1"/>
              </w:rPr>
              <w:t xml:space="preserve"> + 2 mois</w:t>
            </w:r>
          </w:p>
          <w:p w14:paraId="1EC60DCA" w14:textId="55DB808A" w:rsidR="00FF08A8" w:rsidRDefault="00FF08A8" w:rsidP="00FF08A8">
            <w:pPr>
              <w:spacing w:before="60" w:after="60"/>
              <w:jc w:val="center"/>
              <w:rPr>
                <w:rStyle w:val="Emphaseintense"/>
                <w:rFonts w:cs="Arial"/>
                <w:i w:val="0"/>
                <w:color w:val="000000" w:themeColor="text1"/>
              </w:rPr>
            </w:pPr>
            <w:r>
              <w:rPr>
                <w:rStyle w:val="Emphaseintense"/>
                <w:rFonts w:cs="Arial"/>
                <w:i w:val="0"/>
                <w:color w:val="000000" w:themeColor="text1"/>
              </w:rPr>
              <w:t>T</w:t>
            </w:r>
            <w:r w:rsidRPr="00D9105C">
              <w:rPr>
                <w:rStyle w:val="Emphaseintense"/>
                <w:rFonts w:cs="Arial"/>
                <w:i w:val="0"/>
                <w:color w:val="000000" w:themeColor="text1"/>
                <w:vertAlign w:val="subscript"/>
              </w:rPr>
              <w:t xml:space="preserve">0/X </w:t>
            </w:r>
            <w:r>
              <w:rPr>
                <w:rStyle w:val="Emphaseintense"/>
                <w:rFonts w:cs="Arial"/>
                <w:i w:val="0"/>
                <w:color w:val="000000" w:themeColor="text1"/>
              </w:rPr>
              <w:t>+ 5 mois</w:t>
            </w:r>
          </w:p>
          <w:p w14:paraId="2F0BC258" w14:textId="3233EC87" w:rsidR="00FF08A8" w:rsidRDefault="00FF08A8" w:rsidP="00FF08A8">
            <w:pPr>
              <w:spacing w:before="60" w:after="60"/>
              <w:jc w:val="center"/>
              <w:rPr>
                <w:rStyle w:val="Emphaseintense"/>
                <w:rFonts w:cs="Arial"/>
                <w:i w:val="0"/>
                <w:color w:val="000000" w:themeColor="text1"/>
              </w:rPr>
            </w:pPr>
            <w:r>
              <w:rPr>
                <w:rStyle w:val="Emphaseintense"/>
                <w:rFonts w:cs="Arial"/>
                <w:i w:val="0"/>
                <w:color w:val="000000" w:themeColor="text1"/>
              </w:rPr>
              <w:t>T</w:t>
            </w:r>
            <w:r w:rsidRPr="00D9105C">
              <w:rPr>
                <w:rStyle w:val="Emphaseintense"/>
                <w:rFonts w:cs="Arial"/>
                <w:i w:val="0"/>
                <w:color w:val="000000" w:themeColor="text1"/>
                <w:vertAlign w:val="subscript"/>
              </w:rPr>
              <w:t xml:space="preserve">0/X </w:t>
            </w:r>
            <w:r>
              <w:rPr>
                <w:rStyle w:val="Emphaseintense"/>
                <w:rFonts w:cs="Arial"/>
                <w:i w:val="0"/>
                <w:color w:val="000000" w:themeColor="text1"/>
              </w:rPr>
              <w:t>+ 8 mois</w:t>
            </w:r>
          </w:p>
          <w:p w14:paraId="2FE65F3C" w14:textId="419CEDA7" w:rsidR="0025346A" w:rsidRDefault="00FF08A8" w:rsidP="00FF08A8">
            <w:pPr>
              <w:spacing w:before="60" w:after="60"/>
              <w:jc w:val="center"/>
              <w:rPr>
                <w:rStyle w:val="Emphaseintense"/>
                <w:rFonts w:cs="Arial"/>
                <w:i w:val="0"/>
                <w:color w:val="000000" w:themeColor="text1"/>
              </w:rPr>
            </w:pPr>
            <w:r>
              <w:rPr>
                <w:rStyle w:val="Emphaseintense"/>
                <w:rFonts w:cs="Arial"/>
                <w:i w:val="0"/>
                <w:color w:val="000000" w:themeColor="text1"/>
              </w:rPr>
              <w:t>T</w:t>
            </w:r>
            <w:r w:rsidRPr="00D9105C">
              <w:rPr>
                <w:rStyle w:val="Emphaseintense"/>
                <w:rFonts w:cs="Arial"/>
                <w:i w:val="0"/>
                <w:color w:val="000000" w:themeColor="text1"/>
                <w:vertAlign w:val="subscript"/>
              </w:rPr>
              <w:t xml:space="preserve">0/X </w:t>
            </w:r>
            <w:r>
              <w:rPr>
                <w:rStyle w:val="Emphaseintense"/>
                <w:rFonts w:cs="Arial"/>
                <w:i w:val="0"/>
                <w:color w:val="000000" w:themeColor="text1"/>
              </w:rPr>
              <w:t>+ 11 mois</w:t>
            </w:r>
          </w:p>
        </w:tc>
      </w:tr>
      <w:tr w:rsidR="0025346A" w:rsidRPr="009E79BF" w14:paraId="7E8F53A7" w14:textId="77777777" w:rsidTr="009F0863">
        <w:tc>
          <w:tcPr>
            <w:tcW w:w="872" w:type="dxa"/>
            <w:vMerge/>
            <w:vAlign w:val="center"/>
          </w:tcPr>
          <w:p w14:paraId="0579C7F0" w14:textId="1A5A646B" w:rsidR="0025346A" w:rsidRPr="00EF7408" w:rsidRDefault="0025346A" w:rsidP="00E73B45">
            <w:pPr>
              <w:pStyle w:val="Corpsdetexte2"/>
              <w:spacing w:before="60" w:after="60" w:line="240" w:lineRule="auto"/>
              <w:jc w:val="center"/>
              <w:rPr>
                <w:rStyle w:val="Emphaseintense"/>
                <w:rFonts w:ascii="Arial" w:eastAsia="Times" w:hAnsi="Arial" w:cs="Arial"/>
                <w:b/>
                <w:i w:val="0"/>
                <w:color w:val="000000" w:themeColor="text1"/>
              </w:rPr>
            </w:pPr>
          </w:p>
        </w:tc>
        <w:tc>
          <w:tcPr>
            <w:tcW w:w="1396" w:type="dxa"/>
            <w:vAlign w:val="center"/>
          </w:tcPr>
          <w:p w14:paraId="0A9FA7F5" w14:textId="3D082C0F" w:rsidR="0025346A" w:rsidRPr="00884D11" w:rsidRDefault="0025346A" w:rsidP="00E73B45">
            <w:pPr>
              <w:pStyle w:val="Corpsdetexte2"/>
              <w:spacing w:before="60" w:after="6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F2.y.z</w:t>
            </w:r>
          </w:p>
        </w:tc>
        <w:tc>
          <w:tcPr>
            <w:tcW w:w="4394" w:type="dxa"/>
            <w:vAlign w:val="center"/>
          </w:tcPr>
          <w:p w14:paraId="752F7402" w14:textId="01FC9776" w:rsidR="0025346A" w:rsidRPr="00884D11" w:rsidRDefault="0025346A" w:rsidP="0025346A">
            <w:pPr>
              <w:pStyle w:val="Corpsdetexte2"/>
              <w:spacing w:before="60" w:after="60" w:line="240" w:lineRule="auto"/>
              <w:jc w:val="center"/>
              <w:rPr>
                <w:rStyle w:val="Emphaseintense"/>
                <w:rFonts w:ascii="Arial" w:hAnsi="Arial" w:cs="Arial"/>
                <w:i w:val="0"/>
                <w:color w:val="000000" w:themeColor="text1"/>
              </w:rPr>
            </w:pPr>
            <w:r>
              <w:rPr>
                <w:rFonts w:ascii="Arial" w:hAnsi="Arial" w:cs="Arial"/>
                <w:iCs/>
                <w:color w:val="000000" w:themeColor="text1"/>
              </w:rPr>
              <w:t>Quatre (4) notes de recherche en langue française et quatre (4)  résumés en langue française traduits en langue anglaise</w:t>
            </w:r>
          </w:p>
        </w:tc>
        <w:tc>
          <w:tcPr>
            <w:tcW w:w="3119" w:type="dxa"/>
            <w:vAlign w:val="center"/>
          </w:tcPr>
          <w:p w14:paraId="7C988210" w14:textId="0B632065" w:rsidR="0025346A" w:rsidRDefault="0025346A" w:rsidP="00E73B45">
            <w:pPr>
              <w:spacing w:before="60" w:after="60"/>
              <w:jc w:val="center"/>
              <w:rPr>
                <w:rStyle w:val="Emphaseintense"/>
                <w:rFonts w:cs="Arial"/>
                <w:i w:val="0"/>
                <w:color w:val="000000" w:themeColor="text1"/>
              </w:rPr>
            </w:pPr>
            <w:r>
              <w:rPr>
                <w:rStyle w:val="Emphaseintense"/>
                <w:rFonts w:cs="Arial"/>
                <w:i w:val="0"/>
                <w:color w:val="000000" w:themeColor="text1"/>
              </w:rPr>
              <w:t>T</w:t>
            </w:r>
            <w:r w:rsidRPr="00D9105C">
              <w:rPr>
                <w:rStyle w:val="Emphaseintense"/>
                <w:rFonts w:cs="Arial"/>
                <w:i w:val="0"/>
                <w:color w:val="000000" w:themeColor="text1"/>
                <w:vertAlign w:val="subscript"/>
              </w:rPr>
              <w:t>0/X</w:t>
            </w:r>
            <w:r>
              <w:rPr>
                <w:rStyle w:val="Emphaseintense"/>
                <w:rFonts w:cs="Arial"/>
                <w:i w:val="0"/>
                <w:color w:val="000000" w:themeColor="text1"/>
              </w:rPr>
              <w:t xml:space="preserve"> + 3 mois</w:t>
            </w:r>
          </w:p>
          <w:p w14:paraId="38E63DA3" w14:textId="29C3822A" w:rsidR="0025346A" w:rsidRDefault="0025346A" w:rsidP="00E73B45">
            <w:pPr>
              <w:spacing w:before="60" w:after="60"/>
              <w:jc w:val="center"/>
              <w:rPr>
                <w:rStyle w:val="Emphaseintense"/>
                <w:rFonts w:cs="Arial"/>
                <w:i w:val="0"/>
                <w:color w:val="000000" w:themeColor="text1"/>
              </w:rPr>
            </w:pPr>
            <w:r>
              <w:rPr>
                <w:rStyle w:val="Emphaseintense"/>
                <w:rFonts w:cs="Arial"/>
                <w:i w:val="0"/>
                <w:color w:val="000000" w:themeColor="text1"/>
              </w:rPr>
              <w:t>T</w:t>
            </w:r>
            <w:r w:rsidRPr="00D9105C">
              <w:rPr>
                <w:rStyle w:val="Emphaseintense"/>
                <w:rFonts w:cs="Arial"/>
                <w:i w:val="0"/>
                <w:color w:val="000000" w:themeColor="text1"/>
                <w:vertAlign w:val="subscript"/>
              </w:rPr>
              <w:t xml:space="preserve">0/X </w:t>
            </w:r>
            <w:r>
              <w:rPr>
                <w:rStyle w:val="Emphaseintense"/>
                <w:rFonts w:cs="Arial"/>
                <w:i w:val="0"/>
                <w:color w:val="000000" w:themeColor="text1"/>
              </w:rPr>
              <w:t>+ 6 mois</w:t>
            </w:r>
          </w:p>
          <w:p w14:paraId="5FABE39B" w14:textId="30F5CA0F" w:rsidR="0025346A" w:rsidRDefault="0025346A" w:rsidP="00E73B45">
            <w:pPr>
              <w:spacing w:before="60" w:after="60"/>
              <w:jc w:val="center"/>
              <w:rPr>
                <w:rStyle w:val="Emphaseintense"/>
                <w:rFonts w:cs="Arial"/>
                <w:i w:val="0"/>
                <w:color w:val="000000" w:themeColor="text1"/>
              </w:rPr>
            </w:pPr>
            <w:r>
              <w:rPr>
                <w:rStyle w:val="Emphaseintense"/>
                <w:rFonts w:cs="Arial"/>
                <w:i w:val="0"/>
                <w:color w:val="000000" w:themeColor="text1"/>
              </w:rPr>
              <w:t>T</w:t>
            </w:r>
            <w:r w:rsidRPr="00D9105C">
              <w:rPr>
                <w:rStyle w:val="Emphaseintense"/>
                <w:rFonts w:cs="Arial"/>
                <w:i w:val="0"/>
                <w:color w:val="000000" w:themeColor="text1"/>
                <w:vertAlign w:val="subscript"/>
              </w:rPr>
              <w:t xml:space="preserve">0/X </w:t>
            </w:r>
            <w:r>
              <w:rPr>
                <w:rStyle w:val="Emphaseintense"/>
                <w:rFonts w:cs="Arial"/>
                <w:i w:val="0"/>
                <w:color w:val="000000" w:themeColor="text1"/>
              </w:rPr>
              <w:t>+ 9 mois</w:t>
            </w:r>
          </w:p>
          <w:p w14:paraId="38826CA9" w14:textId="597AC85D" w:rsidR="0025346A" w:rsidRPr="00884D11" w:rsidRDefault="0025346A" w:rsidP="00D9105C">
            <w:pPr>
              <w:spacing w:before="60" w:after="60"/>
              <w:jc w:val="center"/>
              <w:rPr>
                <w:rStyle w:val="Emphaseintense"/>
                <w:rFonts w:ascii="Times New Roman" w:hAnsi="Times New Roman" w:cs="Arial"/>
                <w:i w:val="0"/>
                <w:color w:val="000000" w:themeColor="text1"/>
              </w:rPr>
            </w:pPr>
            <w:r>
              <w:rPr>
                <w:rStyle w:val="Emphaseintense"/>
                <w:rFonts w:cs="Arial"/>
                <w:i w:val="0"/>
                <w:color w:val="000000" w:themeColor="text1"/>
              </w:rPr>
              <w:t>T</w:t>
            </w:r>
            <w:r w:rsidRPr="00D9105C">
              <w:rPr>
                <w:rStyle w:val="Emphaseintense"/>
                <w:rFonts w:cs="Arial"/>
                <w:i w:val="0"/>
                <w:color w:val="000000" w:themeColor="text1"/>
                <w:vertAlign w:val="subscript"/>
              </w:rPr>
              <w:t xml:space="preserve">0/X </w:t>
            </w:r>
            <w:r>
              <w:rPr>
                <w:rStyle w:val="Emphaseintense"/>
                <w:rFonts w:cs="Arial"/>
                <w:i w:val="0"/>
                <w:color w:val="000000" w:themeColor="text1"/>
              </w:rPr>
              <w:t>+ 12 mois</w:t>
            </w:r>
          </w:p>
        </w:tc>
      </w:tr>
      <w:tr w:rsidR="0025346A" w:rsidRPr="009E79BF" w14:paraId="42EB9F86" w14:textId="77777777" w:rsidTr="009F0863">
        <w:tc>
          <w:tcPr>
            <w:tcW w:w="872" w:type="dxa"/>
            <w:vMerge/>
            <w:vAlign w:val="center"/>
          </w:tcPr>
          <w:p w14:paraId="758E3389" w14:textId="77777777" w:rsidR="0025346A" w:rsidRPr="00EF7408" w:rsidRDefault="0025346A" w:rsidP="00E73B45">
            <w:pPr>
              <w:pStyle w:val="Corpsdetexte2"/>
              <w:spacing w:before="60" w:after="60" w:line="240" w:lineRule="auto"/>
              <w:jc w:val="center"/>
              <w:rPr>
                <w:rStyle w:val="Emphaseintense"/>
                <w:rFonts w:ascii="Arial" w:eastAsia="Times" w:hAnsi="Arial" w:cs="Arial"/>
                <w:b/>
                <w:i w:val="0"/>
                <w:color w:val="000000" w:themeColor="text1"/>
              </w:rPr>
            </w:pPr>
          </w:p>
        </w:tc>
        <w:tc>
          <w:tcPr>
            <w:tcW w:w="1396" w:type="dxa"/>
            <w:vAlign w:val="center"/>
          </w:tcPr>
          <w:p w14:paraId="6B5C11AB" w14:textId="0DE9BE69" w:rsidR="0025346A" w:rsidRDefault="0025346A" w:rsidP="00E73B45">
            <w:pPr>
              <w:pStyle w:val="Corpsdetexte2"/>
              <w:spacing w:before="60" w:after="6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F3.y.z</w:t>
            </w:r>
          </w:p>
        </w:tc>
        <w:tc>
          <w:tcPr>
            <w:tcW w:w="4394" w:type="dxa"/>
            <w:vAlign w:val="center"/>
          </w:tcPr>
          <w:p w14:paraId="461EB38C" w14:textId="7B51A9CE" w:rsidR="0025346A" w:rsidRPr="0025346A" w:rsidDel="00153983" w:rsidRDefault="0025346A" w:rsidP="0025346A">
            <w:pPr>
              <w:pStyle w:val="Corpsdetexte2"/>
              <w:spacing w:before="60" w:after="60" w:line="240" w:lineRule="auto"/>
              <w:jc w:val="center"/>
              <w:rPr>
                <w:rFonts w:ascii="Arial" w:hAnsi="Arial" w:cs="Arial"/>
                <w:iCs/>
                <w:color w:val="000000" w:themeColor="text1"/>
              </w:rPr>
            </w:pPr>
            <w:r w:rsidRPr="0025346A">
              <w:rPr>
                <w:rFonts w:ascii="Arial" w:hAnsi="Arial" w:cs="Arial"/>
                <w:color w:val="000000" w:themeColor="text1"/>
              </w:rPr>
              <w:t>Registre des catégories d’activités de traitement « RGPD »  visé à l’article 15.3.10 du présent CCP valant AE</w:t>
            </w:r>
          </w:p>
        </w:tc>
        <w:tc>
          <w:tcPr>
            <w:tcW w:w="3119" w:type="dxa"/>
            <w:vAlign w:val="center"/>
          </w:tcPr>
          <w:p w14:paraId="22DAE764" w14:textId="676C6D3C" w:rsidR="0025346A" w:rsidRDefault="0025346A" w:rsidP="00E73B45">
            <w:pPr>
              <w:spacing w:before="60" w:after="60"/>
              <w:jc w:val="center"/>
              <w:rPr>
                <w:rStyle w:val="Emphaseintense"/>
                <w:rFonts w:cs="Arial"/>
                <w:i w:val="0"/>
                <w:color w:val="000000" w:themeColor="text1"/>
              </w:rPr>
            </w:pPr>
            <w:r w:rsidRPr="00CC2AD1">
              <w:rPr>
                <w:rFonts w:cs="Arial"/>
                <w:color w:val="000000" w:themeColor="text1"/>
              </w:rPr>
              <w:t>8 jours avant chaque évènement</w:t>
            </w:r>
          </w:p>
        </w:tc>
      </w:tr>
      <w:tr w:rsidR="0025346A" w:rsidRPr="009E79BF" w14:paraId="68DAA2CF" w14:textId="77777777" w:rsidTr="009F0863">
        <w:tc>
          <w:tcPr>
            <w:tcW w:w="872" w:type="dxa"/>
            <w:vMerge/>
            <w:vAlign w:val="center"/>
          </w:tcPr>
          <w:p w14:paraId="07627EA8" w14:textId="77777777" w:rsidR="0025346A" w:rsidRPr="00EF7408" w:rsidRDefault="0025346A" w:rsidP="00E73B45">
            <w:pPr>
              <w:pStyle w:val="Corpsdetexte2"/>
              <w:spacing w:before="60" w:after="60" w:line="240" w:lineRule="auto"/>
              <w:jc w:val="center"/>
              <w:rPr>
                <w:rStyle w:val="Emphaseintense"/>
                <w:rFonts w:ascii="Arial" w:eastAsia="Times" w:hAnsi="Arial" w:cs="Arial"/>
                <w:b/>
                <w:i w:val="0"/>
                <w:color w:val="000000" w:themeColor="text1"/>
              </w:rPr>
            </w:pPr>
          </w:p>
        </w:tc>
        <w:tc>
          <w:tcPr>
            <w:tcW w:w="1396" w:type="dxa"/>
            <w:vAlign w:val="center"/>
          </w:tcPr>
          <w:p w14:paraId="68A1A30F" w14:textId="31BB7FAB" w:rsidR="0025346A" w:rsidRDefault="0025346A" w:rsidP="004A4EE9">
            <w:pPr>
              <w:pStyle w:val="Corpsdetexte2"/>
              <w:spacing w:before="60" w:after="6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F4.</w:t>
            </w:r>
            <w:r w:rsidR="004A4EE9">
              <w:rPr>
                <w:rStyle w:val="Emphaseintense"/>
                <w:rFonts w:ascii="Arial" w:hAnsi="Arial" w:cs="Arial"/>
                <w:i w:val="0"/>
                <w:color w:val="000000" w:themeColor="text1"/>
              </w:rPr>
              <w:t>y</w:t>
            </w:r>
            <w:r>
              <w:rPr>
                <w:rStyle w:val="Emphaseintense"/>
                <w:rFonts w:ascii="Arial" w:hAnsi="Arial" w:cs="Arial"/>
                <w:i w:val="0"/>
                <w:color w:val="000000" w:themeColor="text1"/>
              </w:rPr>
              <w:t>.z</w:t>
            </w:r>
          </w:p>
        </w:tc>
        <w:tc>
          <w:tcPr>
            <w:tcW w:w="4394" w:type="dxa"/>
            <w:vAlign w:val="center"/>
          </w:tcPr>
          <w:p w14:paraId="1BF960DA" w14:textId="009D66B4" w:rsidR="0025346A" w:rsidDel="00153983" w:rsidRDefault="0025346A" w:rsidP="0025346A">
            <w:pPr>
              <w:pStyle w:val="Corpsdetexte2"/>
              <w:spacing w:before="60" w:after="60" w:line="240" w:lineRule="auto"/>
              <w:jc w:val="center"/>
              <w:rPr>
                <w:rFonts w:ascii="Arial" w:hAnsi="Arial" w:cs="Arial"/>
                <w:iCs/>
                <w:color w:val="000000" w:themeColor="text1"/>
              </w:rPr>
            </w:pPr>
            <w:r w:rsidRPr="0025346A">
              <w:rPr>
                <w:rFonts w:ascii="Arial" w:hAnsi="Arial" w:cs="Arial"/>
                <w:iCs/>
                <w:color w:val="000000" w:themeColor="text1"/>
              </w:rPr>
              <w:t>Documentation « RGPD » visée à l’article 15.3.11 du présent CCP valant AE</w:t>
            </w:r>
          </w:p>
        </w:tc>
        <w:tc>
          <w:tcPr>
            <w:tcW w:w="3119" w:type="dxa"/>
            <w:vAlign w:val="center"/>
          </w:tcPr>
          <w:p w14:paraId="49053BF9" w14:textId="6BE249C8" w:rsidR="0025346A" w:rsidRDefault="0025346A" w:rsidP="00E73B45">
            <w:pPr>
              <w:spacing w:before="60" w:after="60"/>
              <w:jc w:val="center"/>
              <w:rPr>
                <w:rStyle w:val="Emphaseintense"/>
                <w:rFonts w:cs="Arial"/>
                <w:i w:val="0"/>
                <w:color w:val="000000" w:themeColor="text1"/>
              </w:rPr>
            </w:pPr>
            <w:r w:rsidRPr="0025346A">
              <w:rPr>
                <w:rStyle w:val="Emphaseintense"/>
                <w:rFonts w:cs="Arial"/>
                <w:i w:val="0"/>
                <w:color w:val="000000" w:themeColor="text1"/>
              </w:rPr>
              <w:t>15 jours à compter de la demande faite par l’administration</w:t>
            </w:r>
          </w:p>
        </w:tc>
      </w:tr>
      <w:tr w:rsidR="0035393B" w:rsidRPr="009E79BF" w14:paraId="4E7B113F" w14:textId="77777777" w:rsidTr="009F0863">
        <w:tc>
          <w:tcPr>
            <w:tcW w:w="872" w:type="dxa"/>
            <w:vAlign w:val="center"/>
          </w:tcPr>
          <w:p w14:paraId="2BDD47E4" w14:textId="09561D63" w:rsidR="0035393B" w:rsidRPr="00EF7408" w:rsidRDefault="00CB1E9B" w:rsidP="00E73B45">
            <w:pPr>
              <w:pStyle w:val="Corpsdetexte2"/>
              <w:spacing w:before="60" w:after="60" w:line="240" w:lineRule="auto"/>
              <w:jc w:val="center"/>
              <w:rPr>
                <w:rStyle w:val="Emphaseintense"/>
                <w:rFonts w:ascii="Arial" w:eastAsia="Times" w:hAnsi="Arial" w:cs="Arial"/>
                <w:b/>
                <w:i w:val="0"/>
                <w:color w:val="000000" w:themeColor="text1"/>
              </w:rPr>
            </w:pPr>
            <w:r w:rsidRPr="00EF7408">
              <w:rPr>
                <w:rStyle w:val="Emphaseintense"/>
                <w:rFonts w:ascii="Arial" w:hAnsi="Arial" w:cs="Arial"/>
                <w:b/>
                <w:i w:val="0"/>
                <w:color w:val="000000" w:themeColor="text1"/>
              </w:rPr>
              <w:t>PF2</w:t>
            </w:r>
          </w:p>
        </w:tc>
        <w:tc>
          <w:tcPr>
            <w:tcW w:w="1396" w:type="dxa"/>
            <w:vAlign w:val="center"/>
          </w:tcPr>
          <w:p w14:paraId="5D8ABE1D" w14:textId="7AEBE079" w:rsidR="0035393B" w:rsidRPr="00884D11" w:rsidRDefault="00972500" w:rsidP="00E73B45">
            <w:pPr>
              <w:pStyle w:val="Corpsdetexte2"/>
              <w:spacing w:before="60" w:after="6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w:t>
            </w:r>
            <w:r w:rsidR="0025346A">
              <w:rPr>
                <w:rStyle w:val="Emphaseintense"/>
                <w:rFonts w:ascii="Arial" w:hAnsi="Arial" w:cs="Arial"/>
                <w:i w:val="0"/>
                <w:color w:val="000000" w:themeColor="text1"/>
              </w:rPr>
              <w:t>5</w:t>
            </w:r>
            <w:r>
              <w:rPr>
                <w:rStyle w:val="Emphaseintense"/>
                <w:rFonts w:ascii="Arial" w:hAnsi="Arial" w:cs="Arial"/>
                <w:i w:val="0"/>
                <w:color w:val="000000" w:themeColor="text1"/>
              </w:rPr>
              <w:t>.y.z</w:t>
            </w:r>
          </w:p>
        </w:tc>
        <w:tc>
          <w:tcPr>
            <w:tcW w:w="4394" w:type="dxa"/>
            <w:vAlign w:val="center"/>
          </w:tcPr>
          <w:p w14:paraId="5CEF1245" w14:textId="7F45B1AF" w:rsidR="0035393B" w:rsidRPr="000F6580" w:rsidRDefault="00972500" w:rsidP="0046475E">
            <w:pPr>
              <w:pStyle w:val="Corpsdetexte2"/>
              <w:spacing w:before="60" w:after="60" w:line="240" w:lineRule="auto"/>
              <w:jc w:val="center"/>
              <w:rPr>
                <w:rStyle w:val="Emphaseintense"/>
                <w:rFonts w:ascii="Arial" w:hAnsi="Arial" w:cs="Arial"/>
                <w:i w:val="0"/>
                <w:color w:val="000000" w:themeColor="text1"/>
              </w:rPr>
            </w:pPr>
            <w:r>
              <w:rPr>
                <w:rFonts w:ascii="Arial" w:hAnsi="Arial" w:cs="Arial"/>
              </w:rPr>
              <w:t>Une (1)</w:t>
            </w:r>
            <w:r w:rsidR="00DA1EDC">
              <w:rPr>
                <w:rFonts w:ascii="Arial" w:hAnsi="Arial" w:cs="Arial"/>
              </w:rPr>
              <w:t xml:space="preserve"> </w:t>
            </w:r>
            <w:r w:rsidR="000F6580" w:rsidRPr="000F6580">
              <w:rPr>
                <w:rFonts w:ascii="Arial" w:hAnsi="Arial" w:cs="Arial"/>
              </w:rPr>
              <w:t>réunion de restitution</w:t>
            </w:r>
            <w:r>
              <w:rPr>
                <w:rFonts w:ascii="Arial" w:hAnsi="Arial" w:cs="Arial"/>
              </w:rPr>
              <w:t xml:space="preserve"> orale </w:t>
            </w:r>
            <w:r w:rsidR="0046475E">
              <w:rPr>
                <w:rFonts w:ascii="Arial" w:hAnsi="Arial" w:cs="Arial"/>
              </w:rPr>
              <w:t>de</w:t>
            </w:r>
            <w:r w:rsidR="000F3E6D">
              <w:rPr>
                <w:rFonts w:ascii="Arial" w:hAnsi="Arial" w:cs="Arial"/>
              </w:rPr>
              <w:t xml:space="preserve"> </w:t>
            </w:r>
            <w:r>
              <w:rPr>
                <w:rFonts w:ascii="Arial" w:hAnsi="Arial" w:cs="Arial"/>
              </w:rPr>
              <w:t>chaque note de recherche</w:t>
            </w:r>
          </w:p>
        </w:tc>
        <w:tc>
          <w:tcPr>
            <w:tcW w:w="3119" w:type="dxa"/>
            <w:vAlign w:val="center"/>
          </w:tcPr>
          <w:p w14:paraId="5A9CDA99" w14:textId="692874A2" w:rsidR="0035393B" w:rsidRPr="00884D11" w:rsidRDefault="00972500" w:rsidP="009F0863">
            <w:pPr>
              <w:spacing w:before="60" w:after="60"/>
              <w:ind w:left="172" w:right="178"/>
              <w:jc w:val="center"/>
              <w:rPr>
                <w:rStyle w:val="Emphaseintense"/>
                <w:rFonts w:ascii="Times New Roman" w:hAnsi="Times New Roman" w:cs="Arial"/>
                <w:i w:val="0"/>
                <w:color w:val="000000" w:themeColor="text1"/>
              </w:rPr>
            </w:pPr>
            <w:r>
              <w:rPr>
                <w:rFonts w:cs="Arial"/>
                <w:iCs/>
                <w:color w:val="000000" w:themeColor="text1"/>
              </w:rPr>
              <w:t>30 jours</w:t>
            </w:r>
            <w:r w:rsidR="000F6580">
              <w:rPr>
                <w:rFonts w:cs="Arial"/>
                <w:iCs/>
                <w:color w:val="000000" w:themeColor="text1"/>
              </w:rPr>
              <w:t xml:space="preserve"> après la </w:t>
            </w:r>
            <w:r>
              <w:rPr>
                <w:rFonts w:cs="Arial"/>
                <w:iCs/>
                <w:color w:val="000000" w:themeColor="text1"/>
              </w:rPr>
              <w:t xml:space="preserve">réception </w:t>
            </w:r>
            <w:r w:rsidR="000F6580">
              <w:rPr>
                <w:rFonts w:cs="Arial"/>
                <w:iCs/>
                <w:color w:val="000000" w:themeColor="text1"/>
              </w:rPr>
              <w:t>de chaque note</w:t>
            </w:r>
            <w:r>
              <w:rPr>
                <w:rFonts w:cs="Arial"/>
                <w:iCs/>
                <w:color w:val="000000" w:themeColor="text1"/>
              </w:rPr>
              <w:t xml:space="preserve"> de recherche</w:t>
            </w:r>
            <w:r w:rsidR="009F0863">
              <w:rPr>
                <w:rFonts w:cs="Arial"/>
                <w:iCs/>
                <w:color w:val="000000" w:themeColor="text1"/>
              </w:rPr>
              <w:t xml:space="preserve">, sans pour autant dépasser </w:t>
            </w:r>
            <w:r w:rsidR="009F0863">
              <w:rPr>
                <w:rStyle w:val="Emphaseintense"/>
                <w:rFonts w:cs="Arial"/>
                <w:i w:val="0"/>
                <w:color w:val="000000" w:themeColor="text1"/>
              </w:rPr>
              <w:t>T</w:t>
            </w:r>
            <w:r w:rsidR="009F0863" w:rsidRPr="00D9105C">
              <w:rPr>
                <w:rStyle w:val="Emphaseintense"/>
                <w:rFonts w:cs="Arial"/>
                <w:i w:val="0"/>
                <w:color w:val="000000" w:themeColor="text1"/>
                <w:vertAlign w:val="subscript"/>
              </w:rPr>
              <w:t xml:space="preserve">0/X </w:t>
            </w:r>
            <w:r w:rsidR="009F0863">
              <w:rPr>
                <w:rStyle w:val="Emphaseintense"/>
                <w:rFonts w:cs="Arial"/>
                <w:i w:val="0"/>
                <w:color w:val="000000" w:themeColor="text1"/>
              </w:rPr>
              <w:t>+ 12 mois</w:t>
            </w:r>
          </w:p>
        </w:tc>
      </w:tr>
    </w:tbl>
    <w:p w14:paraId="3619DD11" w14:textId="3AA04FD1" w:rsidR="00521CA2" w:rsidRDefault="00521CA2" w:rsidP="00521CA2">
      <w:pPr>
        <w:spacing w:before="120"/>
        <w:ind w:left="284"/>
        <w:rPr>
          <w:sz w:val="16"/>
          <w:szCs w:val="16"/>
        </w:rPr>
      </w:pPr>
      <w:r w:rsidRPr="00E73B45">
        <w:rPr>
          <w:sz w:val="16"/>
          <w:szCs w:val="16"/>
        </w:rPr>
        <w:t>T</w:t>
      </w:r>
      <w:proofErr w:type="gramStart"/>
      <w:r w:rsidRPr="00E73B45">
        <w:rPr>
          <w:sz w:val="16"/>
          <w:szCs w:val="16"/>
          <w:vertAlign w:val="subscript"/>
        </w:rPr>
        <w:t xml:space="preserve">0  </w:t>
      </w:r>
      <w:r w:rsidRPr="00E73B45">
        <w:rPr>
          <w:sz w:val="16"/>
          <w:szCs w:val="16"/>
        </w:rPr>
        <w:t>correspond</w:t>
      </w:r>
      <w:proofErr w:type="gramEnd"/>
      <w:r w:rsidRPr="00E73B45">
        <w:rPr>
          <w:sz w:val="16"/>
          <w:szCs w:val="16"/>
        </w:rPr>
        <w:t xml:space="preserve"> à la date de notification de l‘accord-cadre ;</w:t>
      </w:r>
    </w:p>
    <w:p w14:paraId="605D1056" w14:textId="28D9F474" w:rsidR="00D9105C" w:rsidRDefault="00D9105C" w:rsidP="00D9105C">
      <w:pPr>
        <w:ind w:left="284"/>
        <w:rPr>
          <w:sz w:val="16"/>
          <w:szCs w:val="16"/>
        </w:rPr>
      </w:pPr>
      <w:r w:rsidRPr="00E73B45">
        <w:rPr>
          <w:sz w:val="16"/>
          <w:szCs w:val="16"/>
        </w:rPr>
        <w:t>T</w:t>
      </w:r>
      <w:r w:rsidRPr="00E73B45">
        <w:rPr>
          <w:sz w:val="16"/>
          <w:szCs w:val="16"/>
          <w:vertAlign w:val="subscript"/>
        </w:rPr>
        <w:t xml:space="preserve">X </w:t>
      </w:r>
      <w:r w:rsidRPr="00E73B45">
        <w:rPr>
          <w:sz w:val="16"/>
          <w:szCs w:val="16"/>
        </w:rPr>
        <w:t>correspond à la date de reconduction de la période considérée ;</w:t>
      </w:r>
    </w:p>
    <w:p w14:paraId="13DD3A98" w14:textId="77777777" w:rsidR="00D9105C" w:rsidRPr="00D9105C" w:rsidRDefault="00D9105C" w:rsidP="00D9105C">
      <w:pPr>
        <w:ind w:left="284"/>
        <w:rPr>
          <w:sz w:val="16"/>
          <w:szCs w:val="16"/>
        </w:rPr>
      </w:pPr>
      <w:proofErr w:type="gramStart"/>
      <w:r w:rsidRPr="00D9105C">
        <w:rPr>
          <w:sz w:val="16"/>
          <w:szCs w:val="16"/>
        </w:rPr>
        <w:t>y</w:t>
      </w:r>
      <w:proofErr w:type="gramEnd"/>
      <w:r w:rsidRPr="00D9105C">
        <w:rPr>
          <w:sz w:val="16"/>
          <w:szCs w:val="16"/>
        </w:rPr>
        <w:t xml:space="preserve"> : numéro de la période considérée ;</w:t>
      </w:r>
    </w:p>
    <w:p w14:paraId="291D832E" w14:textId="77777777" w:rsidR="00D9105C" w:rsidRPr="00D9105C" w:rsidRDefault="00D9105C" w:rsidP="00D9105C">
      <w:pPr>
        <w:ind w:left="284"/>
        <w:rPr>
          <w:sz w:val="16"/>
          <w:szCs w:val="16"/>
        </w:rPr>
      </w:pPr>
      <w:proofErr w:type="gramStart"/>
      <w:r w:rsidRPr="00D9105C">
        <w:rPr>
          <w:sz w:val="16"/>
          <w:szCs w:val="16"/>
        </w:rPr>
        <w:t>z</w:t>
      </w:r>
      <w:proofErr w:type="gramEnd"/>
      <w:r w:rsidRPr="00D9105C">
        <w:rPr>
          <w:sz w:val="16"/>
          <w:szCs w:val="16"/>
        </w:rPr>
        <w:t xml:space="preserve"> : numéro du livrable sur la période considérée.</w:t>
      </w:r>
    </w:p>
    <w:p w14:paraId="1D691295" w14:textId="77777777" w:rsidR="007278F9" w:rsidRDefault="007278F9" w:rsidP="00521CA2"/>
    <w:p w14:paraId="3654A819" w14:textId="3854846D" w:rsidR="00521CA2" w:rsidRPr="009F0863" w:rsidRDefault="00521CA2" w:rsidP="00521CA2">
      <w:r w:rsidRPr="009F0863">
        <w:rPr>
          <w:b/>
        </w:rPr>
        <w:t>Au titre du poste à bons de commande, pour chaque période d’exécution</w:t>
      </w:r>
      <w:r w:rsidRPr="009F0863">
        <w:t>, l’ensemble des documents à fournir par le titulaire au titre de l’accord-cadre est transmis dans les délais indiqués ci-dessous :</w:t>
      </w:r>
    </w:p>
    <w:p w14:paraId="47AB6B5A" w14:textId="77777777" w:rsidR="00EF7408" w:rsidRDefault="00EF7408"/>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1"/>
        <w:gridCol w:w="4682"/>
        <w:gridCol w:w="3136"/>
      </w:tblGrid>
      <w:tr w:rsidR="00521CA2" w:rsidRPr="009E79BF" w14:paraId="43BD00EF" w14:textId="77777777" w:rsidTr="007E501F">
        <w:tc>
          <w:tcPr>
            <w:tcW w:w="1821" w:type="dxa"/>
            <w:shd w:val="clear" w:color="auto" w:fill="9CC2E5" w:themeFill="accent5" w:themeFillTint="99"/>
            <w:vAlign w:val="center"/>
          </w:tcPr>
          <w:p w14:paraId="55C2EAD3" w14:textId="5C6CA1B9" w:rsidR="00521CA2" w:rsidRPr="00521CA2" w:rsidRDefault="00521CA2" w:rsidP="00E73B45">
            <w:pPr>
              <w:pStyle w:val="Corpsdetexte2"/>
              <w:spacing w:before="60" w:after="60" w:line="240" w:lineRule="auto"/>
              <w:jc w:val="center"/>
              <w:rPr>
                <w:rStyle w:val="Emphaseintense"/>
                <w:rFonts w:ascii="Arial" w:hAnsi="Arial" w:cs="Arial"/>
                <w:b/>
                <w:i w:val="0"/>
                <w:color w:val="000000" w:themeColor="text1"/>
              </w:rPr>
            </w:pPr>
            <w:r w:rsidRPr="00521CA2">
              <w:rPr>
                <w:rStyle w:val="Emphaseintense"/>
                <w:rFonts w:ascii="Arial" w:hAnsi="Arial" w:cs="Arial"/>
                <w:b/>
                <w:i w:val="0"/>
                <w:color w:val="000000" w:themeColor="text1"/>
              </w:rPr>
              <w:t>Unités d’œuvre (UO)</w:t>
            </w:r>
          </w:p>
        </w:tc>
        <w:tc>
          <w:tcPr>
            <w:tcW w:w="4682" w:type="dxa"/>
            <w:shd w:val="clear" w:color="auto" w:fill="9CC2E5" w:themeFill="accent5" w:themeFillTint="99"/>
            <w:vAlign w:val="center"/>
          </w:tcPr>
          <w:p w14:paraId="31B784AF" w14:textId="5F5F80D5" w:rsidR="00521CA2" w:rsidRPr="00521CA2" w:rsidRDefault="00521CA2" w:rsidP="000F6580">
            <w:pPr>
              <w:pStyle w:val="Corpsdetexte2"/>
              <w:spacing w:before="60" w:after="60" w:line="240" w:lineRule="auto"/>
              <w:jc w:val="center"/>
              <w:rPr>
                <w:rStyle w:val="Emphaseintense"/>
                <w:rFonts w:ascii="Arial" w:hAnsi="Arial" w:cs="Arial"/>
                <w:b/>
                <w:i w:val="0"/>
                <w:color w:val="000000" w:themeColor="text1"/>
              </w:rPr>
            </w:pPr>
            <w:r w:rsidRPr="00521CA2">
              <w:rPr>
                <w:rStyle w:val="Emphaseintense"/>
                <w:rFonts w:ascii="Arial" w:hAnsi="Arial" w:cs="Arial"/>
                <w:b/>
                <w:i w:val="0"/>
                <w:color w:val="000000" w:themeColor="text1"/>
              </w:rPr>
              <w:t>Livrables</w:t>
            </w:r>
          </w:p>
        </w:tc>
        <w:tc>
          <w:tcPr>
            <w:tcW w:w="3136" w:type="dxa"/>
            <w:shd w:val="clear" w:color="auto" w:fill="9CC2E5" w:themeFill="accent5" w:themeFillTint="99"/>
            <w:vAlign w:val="center"/>
          </w:tcPr>
          <w:p w14:paraId="6869F3DB" w14:textId="716BDC2E" w:rsidR="00521CA2" w:rsidRPr="00521CA2" w:rsidRDefault="00521CA2" w:rsidP="00E73B45">
            <w:pPr>
              <w:spacing w:before="60" w:after="60"/>
              <w:jc w:val="center"/>
              <w:rPr>
                <w:rFonts w:cs="Arial"/>
                <w:b/>
              </w:rPr>
            </w:pPr>
            <w:r w:rsidRPr="00521CA2">
              <w:rPr>
                <w:rFonts w:cs="Arial"/>
                <w:b/>
              </w:rPr>
              <w:t>Délais maximum de remise (en jours calendaires)</w:t>
            </w:r>
          </w:p>
        </w:tc>
      </w:tr>
      <w:tr w:rsidR="00521CA2" w:rsidRPr="009E79BF" w14:paraId="25ECA8D8" w14:textId="77777777" w:rsidTr="00CB46F0">
        <w:tc>
          <w:tcPr>
            <w:tcW w:w="1821" w:type="dxa"/>
            <w:vMerge w:val="restart"/>
            <w:vAlign w:val="center"/>
          </w:tcPr>
          <w:p w14:paraId="46A1DD96" w14:textId="08C95F85" w:rsidR="00521CA2" w:rsidRPr="00521CA2" w:rsidRDefault="00521CA2" w:rsidP="00E73B45">
            <w:pPr>
              <w:pStyle w:val="Corpsdetexte2"/>
              <w:spacing w:before="60" w:after="60" w:line="240" w:lineRule="auto"/>
              <w:jc w:val="center"/>
              <w:rPr>
                <w:rStyle w:val="Emphaseintense"/>
                <w:rFonts w:ascii="Arial" w:hAnsi="Arial" w:cs="Arial"/>
                <w:b/>
                <w:i w:val="0"/>
                <w:color w:val="000000" w:themeColor="text1"/>
              </w:rPr>
            </w:pPr>
            <w:r w:rsidRPr="00521CA2">
              <w:rPr>
                <w:rStyle w:val="Emphaseintense"/>
                <w:rFonts w:ascii="Arial" w:hAnsi="Arial" w:cs="Arial"/>
                <w:b/>
                <w:i w:val="0"/>
                <w:color w:val="000000" w:themeColor="text1"/>
              </w:rPr>
              <w:t>UO1</w:t>
            </w:r>
          </w:p>
        </w:tc>
        <w:tc>
          <w:tcPr>
            <w:tcW w:w="4682" w:type="dxa"/>
            <w:vAlign w:val="center"/>
          </w:tcPr>
          <w:p w14:paraId="6C5FEB5C" w14:textId="27A480C9" w:rsidR="00521CA2" w:rsidRPr="00884D11" w:rsidRDefault="00521CA2" w:rsidP="00521CA2">
            <w:pPr>
              <w:pStyle w:val="Corpsdetexte2"/>
              <w:spacing w:before="60" w:after="6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Un (1) café-débat</w:t>
            </w:r>
          </w:p>
        </w:tc>
        <w:tc>
          <w:tcPr>
            <w:tcW w:w="3136" w:type="dxa"/>
            <w:vAlign w:val="center"/>
          </w:tcPr>
          <w:p w14:paraId="36D509FB" w14:textId="688086EB" w:rsidR="00521CA2" w:rsidRPr="00884D11" w:rsidRDefault="00521CA2" w:rsidP="00E73B45">
            <w:pPr>
              <w:spacing w:before="60" w:after="60"/>
              <w:jc w:val="center"/>
              <w:rPr>
                <w:rStyle w:val="Emphaseintense"/>
                <w:rFonts w:ascii="Times New Roman" w:hAnsi="Times New Roman" w:cs="Arial"/>
                <w:i w:val="0"/>
                <w:color w:val="000000" w:themeColor="text1"/>
              </w:rPr>
            </w:pPr>
            <w:r w:rsidRPr="00386ADB">
              <w:rPr>
                <w:rFonts w:cs="Arial"/>
              </w:rPr>
              <w:t>Précisé dans le bon de commande</w:t>
            </w:r>
          </w:p>
        </w:tc>
      </w:tr>
      <w:tr w:rsidR="00521CA2" w:rsidRPr="009E79BF" w14:paraId="1B596669" w14:textId="77777777" w:rsidTr="00CB46F0">
        <w:tc>
          <w:tcPr>
            <w:tcW w:w="1821" w:type="dxa"/>
            <w:vMerge/>
            <w:vAlign w:val="center"/>
          </w:tcPr>
          <w:p w14:paraId="7FF174A6" w14:textId="77777777" w:rsidR="00521CA2" w:rsidRPr="00521CA2" w:rsidRDefault="00521CA2" w:rsidP="00E73B45">
            <w:pPr>
              <w:pStyle w:val="Corpsdetexte2"/>
              <w:spacing w:before="60" w:after="60" w:line="240" w:lineRule="auto"/>
              <w:jc w:val="center"/>
              <w:rPr>
                <w:rStyle w:val="Emphaseintense"/>
                <w:rFonts w:ascii="Arial" w:hAnsi="Arial" w:cs="Arial"/>
                <w:b/>
                <w:i w:val="0"/>
                <w:color w:val="000000" w:themeColor="text1"/>
              </w:rPr>
            </w:pPr>
          </w:p>
        </w:tc>
        <w:tc>
          <w:tcPr>
            <w:tcW w:w="4682" w:type="dxa"/>
            <w:vAlign w:val="center"/>
          </w:tcPr>
          <w:p w14:paraId="6D1503C2" w14:textId="7D5C71F5" w:rsidR="00521CA2" w:rsidRDefault="00521CA2" w:rsidP="00E73B45">
            <w:pPr>
              <w:pStyle w:val="Corpsdetexte2"/>
              <w:spacing w:before="60" w:after="6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Un (1) compte rendu du café-débat</w:t>
            </w:r>
          </w:p>
        </w:tc>
        <w:tc>
          <w:tcPr>
            <w:tcW w:w="3136" w:type="dxa"/>
            <w:vAlign w:val="center"/>
          </w:tcPr>
          <w:p w14:paraId="5A3E1932" w14:textId="763F0494" w:rsidR="00521CA2" w:rsidRPr="00386ADB" w:rsidRDefault="00521CA2" w:rsidP="00E73B45">
            <w:pPr>
              <w:spacing w:before="60" w:after="60"/>
              <w:jc w:val="center"/>
              <w:rPr>
                <w:rFonts w:cs="Arial"/>
              </w:rPr>
            </w:pPr>
            <w:r>
              <w:rPr>
                <w:rFonts w:cs="Arial"/>
              </w:rPr>
              <w:t>15 jours après le café-débat (précisé dans le bon de commande afférent)</w:t>
            </w:r>
          </w:p>
        </w:tc>
      </w:tr>
      <w:tr w:rsidR="00521CA2" w:rsidRPr="009E79BF" w14:paraId="646B71EB" w14:textId="77777777" w:rsidTr="00CB46F0">
        <w:tc>
          <w:tcPr>
            <w:tcW w:w="1821" w:type="dxa"/>
            <w:vMerge w:val="restart"/>
            <w:vAlign w:val="center"/>
          </w:tcPr>
          <w:p w14:paraId="4FF0549F" w14:textId="0F99EC0F" w:rsidR="00521CA2" w:rsidRPr="00521CA2" w:rsidRDefault="00521CA2" w:rsidP="00E73B45">
            <w:pPr>
              <w:pStyle w:val="Corpsdetexte2"/>
              <w:spacing w:before="60" w:after="60" w:line="240" w:lineRule="auto"/>
              <w:jc w:val="center"/>
              <w:rPr>
                <w:rStyle w:val="Emphaseintense"/>
                <w:rFonts w:ascii="Arial" w:hAnsi="Arial" w:cs="Arial"/>
                <w:b/>
                <w:i w:val="0"/>
                <w:color w:val="000000" w:themeColor="text1"/>
              </w:rPr>
            </w:pPr>
            <w:r w:rsidRPr="00521CA2">
              <w:rPr>
                <w:rStyle w:val="Emphaseintense"/>
                <w:rFonts w:ascii="Arial" w:hAnsi="Arial" w:cs="Arial"/>
                <w:b/>
                <w:i w:val="0"/>
                <w:color w:val="000000" w:themeColor="text1"/>
              </w:rPr>
              <w:t>UO2</w:t>
            </w:r>
          </w:p>
        </w:tc>
        <w:tc>
          <w:tcPr>
            <w:tcW w:w="4682" w:type="dxa"/>
            <w:vAlign w:val="center"/>
          </w:tcPr>
          <w:p w14:paraId="51EB3BCA" w14:textId="302C5D5B" w:rsidR="00521CA2" w:rsidRDefault="00521CA2" w:rsidP="00521CA2">
            <w:pPr>
              <w:pStyle w:val="Corpsdetexte2"/>
              <w:spacing w:before="60" w:after="6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Un (1) séminaire</w:t>
            </w:r>
          </w:p>
        </w:tc>
        <w:tc>
          <w:tcPr>
            <w:tcW w:w="3136" w:type="dxa"/>
            <w:vAlign w:val="center"/>
          </w:tcPr>
          <w:p w14:paraId="4861A107" w14:textId="4DAABCC8" w:rsidR="00521CA2" w:rsidRPr="00386ADB" w:rsidRDefault="00521CA2" w:rsidP="00E73B45">
            <w:pPr>
              <w:spacing w:before="60" w:after="60"/>
              <w:jc w:val="center"/>
              <w:rPr>
                <w:rFonts w:cs="Arial"/>
              </w:rPr>
            </w:pPr>
            <w:r w:rsidRPr="00386ADB">
              <w:rPr>
                <w:rFonts w:cs="Arial"/>
              </w:rPr>
              <w:t>Précisé dans le bon de commande</w:t>
            </w:r>
          </w:p>
        </w:tc>
      </w:tr>
      <w:tr w:rsidR="00521CA2" w:rsidRPr="009E79BF" w14:paraId="4E1BE305" w14:textId="77777777" w:rsidTr="00CB46F0">
        <w:tc>
          <w:tcPr>
            <w:tcW w:w="1821" w:type="dxa"/>
            <w:vMerge/>
            <w:vAlign w:val="center"/>
          </w:tcPr>
          <w:p w14:paraId="2121FC2E" w14:textId="77777777" w:rsidR="00521CA2" w:rsidRPr="00521CA2" w:rsidRDefault="00521CA2" w:rsidP="00E73B45">
            <w:pPr>
              <w:pStyle w:val="Corpsdetexte2"/>
              <w:spacing w:before="60" w:after="60" w:line="240" w:lineRule="auto"/>
              <w:jc w:val="center"/>
              <w:rPr>
                <w:rStyle w:val="Emphaseintense"/>
                <w:rFonts w:ascii="Arial" w:hAnsi="Arial" w:cs="Arial"/>
                <w:b/>
                <w:i w:val="0"/>
                <w:color w:val="000000" w:themeColor="text1"/>
              </w:rPr>
            </w:pPr>
          </w:p>
        </w:tc>
        <w:tc>
          <w:tcPr>
            <w:tcW w:w="4682" w:type="dxa"/>
            <w:vAlign w:val="center"/>
          </w:tcPr>
          <w:p w14:paraId="2FD432F3" w14:textId="1B258AB3" w:rsidR="00521CA2" w:rsidRDefault="00521CA2" w:rsidP="00E73B45">
            <w:pPr>
              <w:pStyle w:val="Corpsdetexte2"/>
              <w:spacing w:before="60" w:after="6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Un (1) compte rendu du séminaire</w:t>
            </w:r>
          </w:p>
        </w:tc>
        <w:tc>
          <w:tcPr>
            <w:tcW w:w="3136" w:type="dxa"/>
            <w:vAlign w:val="center"/>
          </w:tcPr>
          <w:p w14:paraId="7AB35DA1" w14:textId="4876DEF7" w:rsidR="00521CA2" w:rsidRPr="00386ADB" w:rsidRDefault="00521CA2" w:rsidP="00E73B45">
            <w:pPr>
              <w:spacing w:before="60" w:after="60"/>
              <w:jc w:val="center"/>
              <w:rPr>
                <w:rFonts w:cs="Arial"/>
              </w:rPr>
            </w:pPr>
            <w:r>
              <w:rPr>
                <w:rFonts w:cs="Arial"/>
              </w:rPr>
              <w:t>15 jours après le café-débat (précisé dans le bon de commande afférent)</w:t>
            </w:r>
          </w:p>
        </w:tc>
      </w:tr>
    </w:tbl>
    <w:p w14:paraId="498C65F2" w14:textId="77777777" w:rsidR="00341046" w:rsidRDefault="00341046" w:rsidP="00D166AE"/>
    <w:p w14:paraId="0394B794" w14:textId="21F65FF2" w:rsidR="00D166AE" w:rsidRDefault="00D166AE" w:rsidP="00D166AE">
      <w:r w:rsidRPr="009E79BF">
        <w:lastRenderedPageBreak/>
        <w:t>Les livrables sont transmis en version électronique aux coordonnées</w:t>
      </w:r>
      <w:r w:rsidR="00DA1EDC">
        <w:t>,</w:t>
      </w:r>
      <w:r w:rsidRPr="009E79BF">
        <w:t xml:space="preserve"> qui sont précisées lors de la réunion de lancement du présent </w:t>
      </w:r>
      <w:r w:rsidR="004735BC">
        <w:t>accord-cadre</w:t>
      </w:r>
      <w:r w:rsidRPr="009E79BF">
        <w:t xml:space="preserve">. </w:t>
      </w:r>
    </w:p>
    <w:p w14:paraId="7B5363CF" w14:textId="77777777" w:rsidR="00D166AE" w:rsidRPr="009E79BF" w:rsidRDefault="00D166AE" w:rsidP="00D166AE"/>
    <w:p w14:paraId="4928F220" w14:textId="25D7F67C" w:rsidR="00D166AE" w:rsidRDefault="00D166AE" w:rsidP="00D166AE">
      <w:r w:rsidRPr="009E79BF">
        <w:t xml:space="preserve">Les formats de remise des livrables numériques sont </w:t>
      </w:r>
      <w:r w:rsidR="00911C16">
        <w:t>PPT</w:t>
      </w:r>
      <w:r w:rsidR="00972500">
        <w:t>, WORD</w:t>
      </w:r>
      <w:r w:rsidR="00911C16">
        <w:t xml:space="preserve"> </w:t>
      </w:r>
      <w:r w:rsidRPr="009E79BF">
        <w:t>et</w:t>
      </w:r>
      <w:r w:rsidR="00A861B7">
        <w:t>/ou</w:t>
      </w:r>
      <w:r w:rsidRPr="009E79BF">
        <w:t xml:space="preserve"> </w:t>
      </w:r>
      <w:r w:rsidR="00CD2F9D">
        <w:t>PD</w:t>
      </w:r>
      <w:r w:rsidRPr="009E79BF">
        <w:t>F dans leur</w:t>
      </w:r>
      <w:r w:rsidR="00A861B7">
        <w:t>s</w:t>
      </w:r>
      <w:r w:rsidRPr="009E79BF">
        <w:t xml:space="preserve"> dernière</w:t>
      </w:r>
      <w:r w:rsidR="00A861B7">
        <w:t>s</w:t>
      </w:r>
      <w:r w:rsidRPr="009E79BF">
        <w:t xml:space="preserve"> version</w:t>
      </w:r>
      <w:r w:rsidR="00A861B7">
        <w:t>s</w:t>
      </w:r>
      <w:r w:rsidRPr="009E79BF">
        <w:t>.</w:t>
      </w:r>
    </w:p>
    <w:p w14:paraId="6917C22B" w14:textId="3E9958CF" w:rsidR="00972500" w:rsidRDefault="00972500" w:rsidP="00D166AE"/>
    <w:p w14:paraId="1BF0D578" w14:textId="142FDBEA" w:rsidR="00972500" w:rsidRDefault="00972500" w:rsidP="00D166AE">
      <w:r>
        <w:rPr>
          <w:rFonts w:cs="Arial"/>
        </w:rPr>
        <w:t>Les livrables sont produits selon le modèle de charte graphique annexé au règlement de la consultation.</w:t>
      </w:r>
    </w:p>
    <w:p w14:paraId="6F5BEB96" w14:textId="77777777" w:rsidR="00A861B7" w:rsidRPr="009E79BF" w:rsidRDefault="00A861B7" w:rsidP="00D166AE"/>
    <w:p w14:paraId="42DDA2F2" w14:textId="77777777" w:rsidR="00D166AE" w:rsidRPr="00D166AE" w:rsidRDefault="00D166AE" w:rsidP="00D166AE">
      <w:r w:rsidRPr="009E79BF">
        <w:t xml:space="preserve">Il est à noter que l’administration se réserve le droit d’effectuer une analyse anti-plagiat des livrables du présent </w:t>
      </w:r>
      <w:r w:rsidR="004735BC">
        <w:t>accord-cadre</w:t>
      </w:r>
      <w:r w:rsidRPr="009E79BF">
        <w:t>.</w:t>
      </w:r>
    </w:p>
    <w:p w14:paraId="692C75A4" w14:textId="5E5B4A30" w:rsidR="00E85775" w:rsidRPr="00C849CA" w:rsidRDefault="00E85775" w:rsidP="00C849CA">
      <w:pPr>
        <w:pStyle w:val="Titre1"/>
        <w:keepLines/>
        <w:numPr>
          <w:ilvl w:val="0"/>
          <w:numId w:val="0"/>
        </w:numPr>
        <w:spacing w:before="240" w:after="0"/>
        <w:rPr>
          <w:rFonts w:ascii="Arial" w:hAnsi="Arial" w:cs="Arial"/>
          <w:sz w:val="22"/>
          <w:szCs w:val="22"/>
        </w:rPr>
      </w:pPr>
      <w:bookmarkStart w:id="149" w:name="_Toc507666633"/>
      <w:bookmarkStart w:id="150" w:name="_Toc50109570"/>
      <w:bookmarkStart w:id="151" w:name="_Toc207979754"/>
      <w:r w:rsidRPr="00C849CA">
        <w:rPr>
          <w:rFonts w:ascii="Arial" w:hAnsi="Arial" w:cs="Arial"/>
          <w:sz w:val="22"/>
          <w:szCs w:val="22"/>
        </w:rPr>
        <w:t>ARTICLE 9 - OPÉRATION DE VÉRIFICATION – ADMISSION.</w:t>
      </w:r>
      <w:bookmarkEnd w:id="149"/>
      <w:bookmarkEnd w:id="150"/>
      <w:bookmarkEnd w:id="151"/>
    </w:p>
    <w:p w14:paraId="69AA0BC9" w14:textId="77777777" w:rsidR="00E85775" w:rsidRPr="00D166AE" w:rsidRDefault="00E85775" w:rsidP="00D166AE">
      <w:pPr>
        <w:rPr>
          <w:rStyle w:val="Emphaseintense"/>
          <w:i w:val="0"/>
        </w:rPr>
      </w:pPr>
    </w:p>
    <w:p w14:paraId="3B931DD9" w14:textId="77777777" w:rsidR="00E85775" w:rsidRPr="00E85775" w:rsidRDefault="00E85775" w:rsidP="000F7994">
      <w:pPr>
        <w:pStyle w:val="Titre2"/>
      </w:pPr>
      <w:bookmarkStart w:id="152" w:name="_Toc507666634"/>
      <w:bookmarkStart w:id="153" w:name="_Toc50109571"/>
      <w:bookmarkStart w:id="154" w:name="_Toc207979755"/>
      <w:r w:rsidRPr="00E85775">
        <w:t>9.1. Opérations de vérification.</w:t>
      </w:r>
      <w:bookmarkEnd w:id="152"/>
      <w:bookmarkEnd w:id="153"/>
      <w:bookmarkEnd w:id="154"/>
      <w:r w:rsidRPr="00E85775">
        <w:t xml:space="preserve"> </w:t>
      </w:r>
    </w:p>
    <w:p w14:paraId="15ECE307" w14:textId="77777777" w:rsidR="00E85775" w:rsidRPr="00E85775" w:rsidRDefault="00E85775" w:rsidP="00C7548A"/>
    <w:p w14:paraId="3BCE4B2D" w14:textId="30985527" w:rsidR="00CB39BD" w:rsidRPr="003B0844" w:rsidRDefault="00CB39BD" w:rsidP="00CB39BD">
      <w:pPr>
        <w:rPr>
          <w:color w:val="000000" w:themeColor="text1"/>
        </w:rPr>
      </w:pPr>
      <w:r w:rsidRPr="00E85775">
        <w:t xml:space="preserve">Par dérogation à </w:t>
      </w:r>
      <w:r w:rsidRPr="003B0844">
        <w:rPr>
          <w:color w:val="000000" w:themeColor="text1"/>
        </w:rPr>
        <w:t xml:space="preserve">l'article 28.1 du CCAG/PI, les opérations de vérification sont effectuées, par délégation de l’acheteur, par </w:t>
      </w:r>
      <w:r w:rsidRPr="003B0844">
        <w:rPr>
          <w:rStyle w:val="Emphaseintense"/>
          <w:i w:val="0"/>
          <w:color w:val="000000" w:themeColor="text1"/>
        </w:rPr>
        <w:t xml:space="preserve">le service en </w:t>
      </w:r>
      <w:r w:rsidRPr="00D07075">
        <w:rPr>
          <w:rStyle w:val="Emphaseintense"/>
          <w:i w:val="0"/>
          <w:color w:val="000000" w:themeColor="text1"/>
        </w:rPr>
        <w:t>charge du suivi et du contrôle de l'exécution</w:t>
      </w:r>
      <w:r w:rsidRPr="00D07075">
        <w:rPr>
          <w:color w:val="000000" w:themeColor="text1"/>
        </w:rPr>
        <w:t xml:space="preserve"> </w:t>
      </w:r>
      <w:r w:rsidR="004735BC" w:rsidRPr="00D07075">
        <w:rPr>
          <w:color w:val="000000" w:themeColor="text1"/>
        </w:rPr>
        <w:t>de l’accord-cadre</w:t>
      </w:r>
      <w:r w:rsidRPr="00D07075">
        <w:rPr>
          <w:color w:val="000000" w:themeColor="text1"/>
        </w:rPr>
        <w:t xml:space="preserve"> désigné à l’article 5.1.2</w:t>
      </w:r>
      <w:r w:rsidR="00E22797">
        <w:rPr>
          <w:color w:val="000000" w:themeColor="text1"/>
        </w:rPr>
        <w:t xml:space="preserve"> du présent document</w:t>
      </w:r>
      <w:r w:rsidRPr="00D07075">
        <w:rPr>
          <w:color w:val="000000" w:themeColor="text1"/>
        </w:rPr>
        <w:t>.</w:t>
      </w:r>
      <w:r w:rsidRPr="003B0844">
        <w:rPr>
          <w:color w:val="000000" w:themeColor="text1"/>
        </w:rPr>
        <w:t xml:space="preserve"> </w:t>
      </w:r>
    </w:p>
    <w:p w14:paraId="7426C9B2" w14:textId="77777777" w:rsidR="00CB39BD" w:rsidRPr="003B0844" w:rsidRDefault="00CB39BD" w:rsidP="00CB39BD">
      <w:pPr>
        <w:rPr>
          <w:color w:val="000000" w:themeColor="text1"/>
        </w:rPr>
      </w:pPr>
    </w:p>
    <w:p w14:paraId="0F14B564" w14:textId="465ECFFD" w:rsidR="00CB39BD" w:rsidRPr="00D07075" w:rsidRDefault="00CB39BD" w:rsidP="00CB39BD">
      <w:pPr>
        <w:rPr>
          <w:color w:val="000000" w:themeColor="text1"/>
        </w:rPr>
      </w:pPr>
      <w:r w:rsidRPr="003B0844">
        <w:rPr>
          <w:color w:val="000000" w:themeColor="text1"/>
        </w:rPr>
        <w:t xml:space="preserve">Par dérogation à l'article 28.2 du CCAG/PI, le délai imparti au </w:t>
      </w:r>
      <w:r w:rsidRPr="003B0844">
        <w:rPr>
          <w:rStyle w:val="Emphaseintense"/>
          <w:i w:val="0"/>
          <w:color w:val="000000" w:themeColor="text1"/>
        </w:rPr>
        <w:t>service en charge du suivi de l'exécution</w:t>
      </w:r>
      <w:r w:rsidRPr="003B0844">
        <w:rPr>
          <w:color w:val="000000" w:themeColor="text1"/>
        </w:rPr>
        <w:t xml:space="preserve"> </w:t>
      </w:r>
      <w:r>
        <w:rPr>
          <w:color w:val="000000" w:themeColor="text1"/>
        </w:rPr>
        <w:t>de l’accord-</w:t>
      </w:r>
      <w:r w:rsidRPr="00D07075">
        <w:rPr>
          <w:color w:val="000000" w:themeColor="text1"/>
        </w:rPr>
        <w:t>cadre</w:t>
      </w:r>
      <w:r w:rsidR="00D17C63">
        <w:rPr>
          <w:color w:val="000000" w:themeColor="text1"/>
        </w:rPr>
        <w:t>,</w:t>
      </w:r>
      <w:r w:rsidRPr="00D07075">
        <w:rPr>
          <w:color w:val="000000" w:themeColor="text1"/>
        </w:rPr>
        <w:t xml:space="preserve"> désigné à l’article 5.1.2</w:t>
      </w:r>
      <w:r w:rsidR="00D17C63">
        <w:rPr>
          <w:color w:val="000000" w:themeColor="text1"/>
        </w:rPr>
        <w:t xml:space="preserve"> du présent document,</w:t>
      </w:r>
      <w:r w:rsidRPr="00D07075">
        <w:rPr>
          <w:color w:val="000000" w:themeColor="text1"/>
        </w:rPr>
        <w:t xml:space="preserve"> pour procéder aux opérations de vérification est de deux (2) mois</w:t>
      </w:r>
      <w:r w:rsidRPr="00D07075">
        <w:rPr>
          <w:b/>
          <w:color w:val="000000" w:themeColor="text1"/>
        </w:rPr>
        <w:t xml:space="preserve"> </w:t>
      </w:r>
      <w:r w:rsidRPr="00D07075">
        <w:rPr>
          <w:color w:val="000000" w:themeColor="text1"/>
        </w:rPr>
        <w:t>à compter de la livraison du dernier livrable du lot de livraison.</w:t>
      </w:r>
    </w:p>
    <w:p w14:paraId="287F7D65" w14:textId="77777777" w:rsidR="00CB39BD" w:rsidRPr="00D07075" w:rsidRDefault="00CB39BD" w:rsidP="00CB39BD">
      <w:pPr>
        <w:rPr>
          <w:color w:val="000000" w:themeColor="text1"/>
        </w:rPr>
      </w:pPr>
    </w:p>
    <w:p w14:paraId="3DFA4AC8" w14:textId="7779DEAF" w:rsidR="00D166AE" w:rsidRPr="00D07075" w:rsidRDefault="00CB39BD" w:rsidP="00CB39BD">
      <w:pPr>
        <w:rPr>
          <w:rFonts w:cs="Arial"/>
        </w:rPr>
      </w:pPr>
      <w:r w:rsidRPr="00D07075">
        <w:rPr>
          <w:rStyle w:val="Emphaseintense"/>
          <w:i w:val="0"/>
          <w:color w:val="000000" w:themeColor="text1"/>
        </w:rPr>
        <w:t>Par dérogation à l’article</w:t>
      </w:r>
      <w:r w:rsidR="00E22797">
        <w:rPr>
          <w:rStyle w:val="Emphaseintense"/>
          <w:i w:val="0"/>
          <w:color w:val="000000" w:themeColor="text1"/>
        </w:rPr>
        <w:t xml:space="preserve"> </w:t>
      </w:r>
      <w:r w:rsidRPr="00D07075">
        <w:rPr>
          <w:rStyle w:val="Emphaseintense"/>
          <w:i w:val="0"/>
          <w:color w:val="000000" w:themeColor="text1"/>
        </w:rPr>
        <w:t xml:space="preserve">28.5 du CCAG/PI, le titulaire n’est </w:t>
      </w:r>
      <w:r w:rsidRPr="00D07075">
        <w:rPr>
          <w:rStyle w:val="Emphaseintense"/>
          <w:i w:val="0"/>
          <w:color w:val="auto"/>
        </w:rPr>
        <w:t>pas convoqué aux opérations de vérification</w:t>
      </w:r>
      <w:r w:rsidR="00D166AE" w:rsidRPr="00D07075">
        <w:rPr>
          <w:rFonts w:cs="Arial"/>
          <w:i/>
        </w:rPr>
        <w:t>.</w:t>
      </w:r>
    </w:p>
    <w:p w14:paraId="4613B23F" w14:textId="77777777" w:rsidR="00E85775" w:rsidRPr="00D07075" w:rsidRDefault="00E85775" w:rsidP="00C7548A"/>
    <w:p w14:paraId="7CAA01AF" w14:textId="77777777" w:rsidR="00E85775" w:rsidRPr="00D07075" w:rsidRDefault="00E85775" w:rsidP="000F7994">
      <w:pPr>
        <w:pStyle w:val="Titre2"/>
      </w:pPr>
      <w:bookmarkStart w:id="155" w:name="_Toc507666635"/>
      <w:bookmarkStart w:id="156" w:name="_Toc50109572"/>
      <w:bookmarkStart w:id="157" w:name="_Toc207979756"/>
      <w:r w:rsidRPr="00D07075">
        <w:t xml:space="preserve">9.2. </w:t>
      </w:r>
      <w:r w:rsidR="00CB39BD" w:rsidRPr="00D07075">
        <w:rPr>
          <w:lang w:val="fr-FR"/>
        </w:rPr>
        <w:t>Admission</w:t>
      </w:r>
      <w:r w:rsidRPr="00D07075">
        <w:t>.</w:t>
      </w:r>
      <w:bookmarkEnd w:id="155"/>
      <w:bookmarkEnd w:id="156"/>
      <w:bookmarkEnd w:id="157"/>
    </w:p>
    <w:p w14:paraId="210F9EDF" w14:textId="77777777" w:rsidR="00E85775" w:rsidRPr="00D07075" w:rsidRDefault="00E85775" w:rsidP="00C7548A"/>
    <w:p w14:paraId="6F4E9412" w14:textId="2839638D" w:rsidR="00CB39BD" w:rsidRDefault="00CB39BD" w:rsidP="00CB39BD">
      <w:r w:rsidRPr="00D07075">
        <w:t xml:space="preserve">Par dérogation à l’article 29.1 du CCAG/PI, l’autorité chargée de prononcer l’admission sans réfaction des prestations est la personne mentionnée à </w:t>
      </w:r>
      <w:r w:rsidR="00651CC5">
        <w:t>l’article 5.1.2</w:t>
      </w:r>
      <w:r w:rsidR="00D17C63">
        <w:t xml:space="preserve"> du présent document</w:t>
      </w:r>
      <w:r w:rsidRPr="00D07075">
        <w:t>. L’admission prend effet à la date de notification de la décision d’admission au titulaire.</w:t>
      </w:r>
    </w:p>
    <w:p w14:paraId="4CEB63C3" w14:textId="77777777" w:rsidR="00D17C63" w:rsidRPr="00E85775" w:rsidRDefault="00D17C63" w:rsidP="00CB39BD"/>
    <w:p w14:paraId="3493662F" w14:textId="77777777" w:rsidR="00D166AE" w:rsidRPr="009E79BF" w:rsidRDefault="00CB39BD" w:rsidP="00CB39BD">
      <w:pPr>
        <w:rPr>
          <w:rFonts w:cs="Arial"/>
        </w:rPr>
      </w:pPr>
      <w:r w:rsidRPr="00E85775">
        <w:t xml:space="preserve">En cas </w:t>
      </w:r>
      <w:r>
        <w:t>d’admission</w:t>
      </w:r>
      <w:r w:rsidRPr="00E85775">
        <w:t xml:space="preserve"> tacite, </w:t>
      </w:r>
      <w:r>
        <w:t>l’admission</w:t>
      </w:r>
      <w:r w:rsidRPr="00E85775">
        <w:t xml:space="preserve"> prend effet au terme d'un délai de deux mois</w:t>
      </w:r>
      <w:r w:rsidR="00D166AE" w:rsidRPr="009E79BF">
        <w:rPr>
          <w:rFonts w:cs="Arial"/>
        </w:rPr>
        <w:t>.</w:t>
      </w:r>
    </w:p>
    <w:p w14:paraId="15C3E56E" w14:textId="77777777" w:rsidR="00E85775" w:rsidRPr="00E85775" w:rsidRDefault="00E85775" w:rsidP="00C7548A"/>
    <w:p w14:paraId="174563F6" w14:textId="77777777" w:rsidR="00E85775" w:rsidRPr="00E85775" w:rsidRDefault="00E85775" w:rsidP="000F7994">
      <w:pPr>
        <w:pStyle w:val="Titre2"/>
      </w:pPr>
      <w:bookmarkStart w:id="158" w:name="_Toc507666636"/>
      <w:bookmarkStart w:id="159" w:name="_Toc50109573"/>
      <w:bookmarkStart w:id="160" w:name="_Toc207979757"/>
      <w:r w:rsidRPr="00E85775">
        <w:t>9.3. Ajournement.</w:t>
      </w:r>
      <w:bookmarkEnd w:id="158"/>
      <w:bookmarkEnd w:id="159"/>
      <w:bookmarkEnd w:id="160"/>
    </w:p>
    <w:p w14:paraId="5C189448" w14:textId="77777777" w:rsidR="00E85775" w:rsidRPr="00E85775" w:rsidRDefault="00E85775" w:rsidP="00C7548A"/>
    <w:p w14:paraId="35FD65AC" w14:textId="77777777" w:rsidR="00CB39BD" w:rsidRPr="00E85775" w:rsidRDefault="00CB39BD" w:rsidP="00CB39BD">
      <w:r>
        <w:t xml:space="preserve">Conformément </w:t>
      </w:r>
      <w:r w:rsidRPr="00A608E1">
        <w:rPr>
          <w:color w:val="000000" w:themeColor="text1"/>
        </w:rPr>
        <w:t>à l’article 29.2 du CCAG/PI, l’acheteur</w:t>
      </w:r>
      <w:r w:rsidRPr="00E85775">
        <w:t>, lorsqu'il estime que des pres</w:t>
      </w:r>
      <w:r>
        <w:t>tations ne peuvent être admises</w:t>
      </w:r>
      <w:r w:rsidRPr="00E85775">
        <w:t xml:space="preserve"> que moyennant certaines mises au point, peut décider d'ajourner l'admission des prestations par une décision motivée. </w:t>
      </w:r>
    </w:p>
    <w:p w14:paraId="55325751" w14:textId="77777777" w:rsidR="00CB39BD" w:rsidRPr="00971F45" w:rsidRDefault="00CB39BD" w:rsidP="00CB39BD">
      <w:pPr>
        <w:rPr>
          <w:rStyle w:val="Emphaseintense"/>
        </w:rPr>
      </w:pPr>
    </w:p>
    <w:p w14:paraId="074CA47B" w14:textId="77777777" w:rsidR="00D166AE" w:rsidRPr="009E79BF" w:rsidRDefault="00CB39BD" w:rsidP="00CB39BD">
      <w:pPr>
        <w:rPr>
          <w:rFonts w:cs="Arial"/>
        </w:rPr>
      </w:pPr>
      <w:r>
        <w:t xml:space="preserve">Par dérogation </w:t>
      </w:r>
      <w:r w:rsidRPr="00A608E1">
        <w:rPr>
          <w:color w:val="000000" w:themeColor="text1"/>
        </w:rPr>
        <w:t xml:space="preserve">à l’article 29.2 du CCAG/PI, la décision </w:t>
      </w:r>
      <w:r w:rsidRPr="00E85775">
        <w:t xml:space="preserve">d'ajournement invite le titulaire à présenter à nouveau </w:t>
      </w:r>
      <w:r>
        <w:t>à l’acheteur</w:t>
      </w:r>
      <w:r w:rsidRPr="00E85775">
        <w:t xml:space="preserve"> les prestations mises au point dans un délai qu'elle fixe</w:t>
      </w:r>
      <w:r w:rsidR="00D166AE" w:rsidRPr="009E79BF">
        <w:rPr>
          <w:rFonts w:cs="Arial"/>
        </w:rPr>
        <w:t>.</w:t>
      </w:r>
    </w:p>
    <w:p w14:paraId="224EC54C" w14:textId="77777777" w:rsidR="00E85775" w:rsidRPr="00E85775" w:rsidRDefault="00E85775" w:rsidP="00C7548A"/>
    <w:p w14:paraId="42F3BA71" w14:textId="77777777" w:rsidR="00E85775" w:rsidRPr="00E85775" w:rsidRDefault="00E85775" w:rsidP="000F7994">
      <w:pPr>
        <w:pStyle w:val="Titre2"/>
      </w:pPr>
      <w:bookmarkStart w:id="161" w:name="_Toc507666637"/>
      <w:bookmarkStart w:id="162" w:name="_Toc50109574"/>
      <w:bookmarkStart w:id="163" w:name="_Toc207979758"/>
      <w:r w:rsidRPr="00E85775">
        <w:t>9.4. Réfaction.</w:t>
      </w:r>
      <w:bookmarkEnd w:id="161"/>
      <w:bookmarkEnd w:id="162"/>
      <w:bookmarkEnd w:id="163"/>
    </w:p>
    <w:p w14:paraId="1B4465FB" w14:textId="77777777" w:rsidR="00E85775" w:rsidRPr="00E85775" w:rsidRDefault="00E85775" w:rsidP="00C7548A"/>
    <w:p w14:paraId="2A091B5D" w14:textId="77777777" w:rsidR="00CB39BD" w:rsidRPr="000F7B90" w:rsidRDefault="00CB39BD" w:rsidP="00CB39BD">
      <w:pPr>
        <w:rPr>
          <w:rStyle w:val="Emphaseintense"/>
          <w:i w:val="0"/>
          <w:color w:val="auto"/>
        </w:rPr>
      </w:pPr>
      <w:r>
        <w:t>I</w:t>
      </w:r>
      <w:r w:rsidRPr="006C4684">
        <w:t xml:space="preserve">l est fait application de </w:t>
      </w:r>
      <w:r w:rsidRPr="006C4684">
        <w:rPr>
          <w:rStyle w:val="Emphaseintense"/>
          <w:i w:val="0"/>
          <w:color w:val="auto"/>
        </w:rPr>
        <w:t>l'article</w:t>
      </w:r>
      <w:r>
        <w:rPr>
          <w:rStyle w:val="Emphaseintense"/>
          <w:i w:val="0"/>
          <w:color w:val="auto"/>
        </w:rPr>
        <w:t xml:space="preserve"> </w:t>
      </w:r>
      <w:r w:rsidRPr="00A608E1">
        <w:rPr>
          <w:rStyle w:val="Emphaseintense"/>
          <w:i w:val="0"/>
          <w:color w:val="000000" w:themeColor="text1"/>
        </w:rPr>
        <w:t>29.3 du CCAG/PI.</w:t>
      </w:r>
    </w:p>
    <w:p w14:paraId="3A6B75B5" w14:textId="77777777" w:rsidR="00CB39BD" w:rsidRDefault="00CB39BD" w:rsidP="00CB39BD">
      <w:pPr>
        <w:rPr>
          <w:rStyle w:val="Emphaseintense"/>
          <w:i w:val="0"/>
        </w:rPr>
      </w:pPr>
    </w:p>
    <w:p w14:paraId="478F8010" w14:textId="79B761C7" w:rsidR="00D166AE" w:rsidRPr="009E79BF" w:rsidRDefault="00CB39BD" w:rsidP="00CB39BD">
      <w:pPr>
        <w:rPr>
          <w:rFonts w:cs="Arial"/>
        </w:rPr>
      </w:pPr>
      <w:r w:rsidRPr="000F7B90">
        <w:rPr>
          <w:rStyle w:val="Emphaseintense"/>
          <w:i w:val="0"/>
          <w:color w:val="auto"/>
        </w:rPr>
        <w:t xml:space="preserve">Par dérogation à l’article </w:t>
      </w:r>
      <w:r w:rsidRPr="00A608E1">
        <w:rPr>
          <w:rStyle w:val="Emphaseintense"/>
          <w:i w:val="0"/>
          <w:color w:val="000000" w:themeColor="text1"/>
        </w:rPr>
        <w:t xml:space="preserve">29.3 du CCAG/PI, si le </w:t>
      </w:r>
      <w:r w:rsidRPr="000F7B90">
        <w:rPr>
          <w:rStyle w:val="Emphaseintense"/>
          <w:i w:val="0"/>
          <w:color w:val="auto"/>
        </w:rPr>
        <w:t xml:space="preserve">titulaire ne présente pas d’observations dans un délai </w:t>
      </w:r>
      <w:r w:rsidRPr="00FD3E64">
        <w:rPr>
          <w:rStyle w:val="Emphaseintense"/>
          <w:i w:val="0"/>
          <w:color w:val="auto"/>
        </w:rPr>
        <w:t xml:space="preserve">de </w:t>
      </w:r>
      <w:r w:rsidR="00F64BA2" w:rsidRPr="00FD3E64">
        <w:rPr>
          <w:rStyle w:val="Emphaseintense"/>
          <w:i w:val="0"/>
          <w:color w:val="auto"/>
        </w:rPr>
        <w:t xml:space="preserve">quinze jours </w:t>
      </w:r>
      <w:r w:rsidRPr="000F7B90">
        <w:rPr>
          <w:rStyle w:val="Emphaseintense"/>
          <w:i w:val="0"/>
          <w:color w:val="auto"/>
        </w:rPr>
        <w:t>suivant la décision d’admission avec réfaction, il est réputé l’avoir acceptée. Si le titulaire formule des observations dans ce délai, l’acheteur dispose ensuite d’un délai de deux mois pour lui notifier une nouvelle décision</w:t>
      </w:r>
      <w:r w:rsidR="00D166AE" w:rsidRPr="009E79BF">
        <w:rPr>
          <w:rFonts w:cs="Arial"/>
        </w:rPr>
        <w:t>.</w:t>
      </w:r>
    </w:p>
    <w:p w14:paraId="6730C173" w14:textId="77777777" w:rsidR="00E85775" w:rsidRPr="00D166AE" w:rsidRDefault="00E85775" w:rsidP="00C7548A">
      <w:pPr>
        <w:rPr>
          <w:rStyle w:val="Emphaseintense"/>
          <w:i w:val="0"/>
        </w:rPr>
      </w:pPr>
    </w:p>
    <w:p w14:paraId="547A383C" w14:textId="77777777" w:rsidR="00E85775" w:rsidRPr="00E85775" w:rsidRDefault="00E85775" w:rsidP="000F7994">
      <w:pPr>
        <w:pStyle w:val="Titre2"/>
      </w:pPr>
      <w:bookmarkStart w:id="164" w:name="_Toc207979759"/>
      <w:r w:rsidRPr="00E85775">
        <w:t>9.5 Rejet</w:t>
      </w:r>
      <w:bookmarkEnd w:id="164"/>
    </w:p>
    <w:p w14:paraId="6FCC3F5E" w14:textId="77777777" w:rsidR="00E85775" w:rsidRPr="00E85775" w:rsidRDefault="00E85775" w:rsidP="00C7548A"/>
    <w:p w14:paraId="09A7F6BB" w14:textId="77777777" w:rsidR="00E85775" w:rsidRDefault="00D166AE" w:rsidP="00C7548A">
      <w:pPr>
        <w:rPr>
          <w:rFonts w:cs="Arial"/>
        </w:rPr>
      </w:pPr>
      <w:r w:rsidRPr="009E79BF">
        <w:rPr>
          <w:rFonts w:cs="Arial"/>
        </w:rPr>
        <w:t>Il est fait application de l'article 2</w:t>
      </w:r>
      <w:r w:rsidR="00CB39BD">
        <w:rPr>
          <w:rFonts w:cs="Arial"/>
        </w:rPr>
        <w:t>9</w:t>
      </w:r>
      <w:r w:rsidRPr="009E79BF">
        <w:rPr>
          <w:rFonts w:cs="Arial"/>
        </w:rPr>
        <w:t>.</w:t>
      </w:r>
      <w:r>
        <w:rPr>
          <w:rFonts w:cs="Arial"/>
        </w:rPr>
        <w:t>4</w:t>
      </w:r>
      <w:r w:rsidRPr="009E79BF">
        <w:rPr>
          <w:rFonts w:cs="Arial"/>
        </w:rPr>
        <w:t xml:space="preserve"> du CCAG/PI.</w:t>
      </w:r>
    </w:p>
    <w:p w14:paraId="0BB127E6" w14:textId="77777777" w:rsidR="00286D0F" w:rsidRDefault="00286D0F" w:rsidP="00C7548A">
      <w:pPr>
        <w:rPr>
          <w:rFonts w:cs="Arial"/>
        </w:rPr>
      </w:pPr>
    </w:p>
    <w:p w14:paraId="26544C5E" w14:textId="77777777" w:rsidR="00286D0F" w:rsidRPr="00956653" w:rsidRDefault="00286D0F" w:rsidP="00286D0F">
      <w:pPr>
        <w:rPr>
          <w:b/>
        </w:rPr>
      </w:pPr>
      <w:r w:rsidRPr="00956653">
        <w:rPr>
          <w:b/>
        </w:rPr>
        <w:t>9.6 Destruction des données</w:t>
      </w:r>
    </w:p>
    <w:p w14:paraId="0B027344" w14:textId="77777777" w:rsidR="00286D0F" w:rsidRDefault="00286D0F" w:rsidP="00286D0F"/>
    <w:p w14:paraId="780CA542" w14:textId="10529CD0" w:rsidR="00286D0F" w:rsidRDefault="00286D0F" w:rsidP="00286D0F">
      <w:r>
        <w:t xml:space="preserve">Conformément à l’article 31 du CCAG/PI, au terme de l’exécution de l’accord-cadre ou en cas de résiliation, le </w:t>
      </w:r>
      <w:r w:rsidRPr="00DB43E4">
        <w:t xml:space="preserve">titulaire restitue sans délai à la personne chargée du suivi et du contrôle de l’exécution </w:t>
      </w:r>
      <w:r w:rsidR="004735BC" w:rsidRPr="00DB43E4">
        <w:t>de l’accord-cadre</w:t>
      </w:r>
      <w:r w:rsidRPr="00DB43E4">
        <w:t xml:space="preserve"> désignée à l’article 5.1.2</w:t>
      </w:r>
      <w:r w:rsidR="00D17C63">
        <w:t xml:space="preserve"> du présent document</w:t>
      </w:r>
      <w:r w:rsidRPr="00DB43E4">
        <w:t>, une copie de l'intégralité des données confiées par lui dans le cadre de la prestation.</w:t>
      </w:r>
      <w:r w:rsidRPr="003D1FEB">
        <w:t xml:space="preserve"> </w:t>
      </w:r>
    </w:p>
    <w:p w14:paraId="182CBF9A" w14:textId="77777777" w:rsidR="00286D0F" w:rsidRDefault="00286D0F" w:rsidP="00286D0F"/>
    <w:p w14:paraId="4E88A35A" w14:textId="101FA273" w:rsidR="00286D0F" w:rsidRDefault="00286D0F" w:rsidP="00286D0F">
      <w:r w:rsidRPr="003D1FEB">
        <w:t>Une fois la restitution e</w:t>
      </w:r>
      <w:r>
        <w:t xml:space="preserve">ffectuée, le titulaire détruit, dans un délai de trois mois, </w:t>
      </w:r>
      <w:r w:rsidRPr="003D1FEB">
        <w:t xml:space="preserve">les éventuelles copies de données détenues dans son système d'information, y compris les données ayant fait l'objet de sauvegardes ou d'un archivage. </w:t>
      </w:r>
    </w:p>
    <w:p w14:paraId="3FE52C18" w14:textId="77777777" w:rsidR="00D17C63" w:rsidRDefault="00D17C63" w:rsidP="00286D0F"/>
    <w:p w14:paraId="6AEF84FD" w14:textId="5EB77A8C" w:rsidR="00286D0F" w:rsidRDefault="00286D0F" w:rsidP="00286D0F">
      <w:r w:rsidRPr="003D1FEB">
        <w:t>La restitution et la destruction des données sont constatées par un procès-verbal daté et signé par le titulaire. Les procédés de destruction sont conformes aux réglementations en vigueur</w:t>
      </w:r>
      <w:r w:rsidR="0094492C">
        <w:t>.</w:t>
      </w:r>
    </w:p>
    <w:p w14:paraId="2F5D502A" w14:textId="4555D0B2" w:rsidR="00E85775" w:rsidRPr="00C849CA" w:rsidRDefault="00E85775" w:rsidP="00C849CA">
      <w:pPr>
        <w:pStyle w:val="Titre1"/>
        <w:keepLines/>
        <w:numPr>
          <w:ilvl w:val="0"/>
          <w:numId w:val="0"/>
        </w:numPr>
        <w:spacing w:before="240" w:after="0"/>
        <w:rPr>
          <w:rFonts w:ascii="Arial" w:hAnsi="Arial" w:cs="Arial"/>
          <w:sz w:val="22"/>
          <w:szCs w:val="22"/>
          <w:lang w:val="fr-FR"/>
        </w:rPr>
      </w:pPr>
      <w:bookmarkStart w:id="165" w:name="_Toc507666638"/>
      <w:bookmarkStart w:id="166" w:name="_Toc50109575"/>
      <w:bookmarkStart w:id="167" w:name="_Toc207979760"/>
      <w:r w:rsidRPr="00C849CA">
        <w:rPr>
          <w:rFonts w:ascii="Arial" w:hAnsi="Arial" w:cs="Arial"/>
          <w:sz w:val="22"/>
          <w:szCs w:val="22"/>
        </w:rPr>
        <w:t xml:space="preserve">ARTICLE 10 - MODALITÉS DE DÉTERMINATION DES PRIX </w:t>
      </w:r>
      <w:bookmarkEnd w:id="165"/>
      <w:r w:rsidR="0037147F" w:rsidRPr="00C849CA">
        <w:rPr>
          <w:rFonts w:ascii="Arial" w:hAnsi="Arial" w:cs="Arial"/>
          <w:sz w:val="22"/>
          <w:szCs w:val="22"/>
        </w:rPr>
        <w:t>DE L’ACCORD-CADRE</w:t>
      </w:r>
      <w:bookmarkEnd w:id="166"/>
      <w:r w:rsidR="00C849CA">
        <w:rPr>
          <w:rFonts w:ascii="Arial" w:hAnsi="Arial" w:cs="Arial"/>
          <w:sz w:val="22"/>
          <w:szCs w:val="22"/>
          <w:lang w:val="fr-FR"/>
        </w:rPr>
        <w:t>.</w:t>
      </w:r>
      <w:bookmarkEnd w:id="167"/>
    </w:p>
    <w:p w14:paraId="29D9297C" w14:textId="77777777" w:rsidR="00D166AE" w:rsidRDefault="00D166AE" w:rsidP="00D166AE">
      <w:pPr>
        <w:rPr>
          <w:rFonts w:cs="Arial"/>
        </w:rPr>
      </w:pPr>
    </w:p>
    <w:p w14:paraId="0B1945CE" w14:textId="35C26E38" w:rsidR="00D166AE" w:rsidRPr="009E79BF" w:rsidRDefault="0037147F" w:rsidP="00D166AE">
      <w:pPr>
        <w:rPr>
          <w:rFonts w:cs="Arial"/>
        </w:rPr>
      </w:pPr>
      <w:r>
        <w:rPr>
          <w:rFonts w:cs="Arial"/>
        </w:rPr>
        <w:t>L’accord-cadre</w:t>
      </w:r>
      <w:r w:rsidR="00D166AE" w:rsidRPr="009E79BF">
        <w:rPr>
          <w:rFonts w:cs="Arial"/>
        </w:rPr>
        <w:t xml:space="preserve"> est conclu au</w:t>
      </w:r>
      <w:r w:rsidR="00FD3E64">
        <w:rPr>
          <w:rFonts w:cs="Arial"/>
        </w:rPr>
        <w:t>x</w:t>
      </w:r>
      <w:r w:rsidR="00D166AE" w:rsidRPr="009E79BF">
        <w:rPr>
          <w:rFonts w:cs="Arial"/>
        </w:rPr>
        <w:t xml:space="preserve"> prix définitif</w:t>
      </w:r>
      <w:r w:rsidR="00FD3E64">
        <w:rPr>
          <w:rFonts w:cs="Arial"/>
        </w:rPr>
        <w:t>s</w:t>
      </w:r>
      <w:r w:rsidR="00D166AE" w:rsidRPr="009E79BF">
        <w:rPr>
          <w:rFonts w:cs="Arial"/>
        </w:rPr>
        <w:t xml:space="preserve"> précisé</w:t>
      </w:r>
      <w:r w:rsidR="00FD3E64">
        <w:rPr>
          <w:rFonts w:cs="Arial"/>
        </w:rPr>
        <w:t>s</w:t>
      </w:r>
      <w:r w:rsidR="00D166AE" w:rsidRPr="009E79BF">
        <w:rPr>
          <w:rFonts w:cs="Arial"/>
        </w:rPr>
        <w:t xml:space="preserve"> dans le présent CCP</w:t>
      </w:r>
      <w:r w:rsidR="00FD3E64">
        <w:rPr>
          <w:rFonts w:cs="Arial"/>
        </w:rPr>
        <w:t xml:space="preserve"> valant AE</w:t>
      </w:r>
      <w:r w:rsidR="00D166AE" w:rsidRPr="009E79BF">
        <w:rPr>
          <w:rFonts w:cs="Arial"/>
        </w:rPr>
        <w:t>.</w:t>
      </w:r>
    </w:p>
    <w:p w14:paraId="63979573" w14:textId="77777777" w:rsidR="00E85775" w:rsidRPr="00E85775" w:rsidRDefault="00E85775" w:rsidP="00C7548A"/>
    <w:p w14:paraId="494D3DA9" w14:textId="77777777" w:rsidR="00E85775" w:rsidRPr="00E85775" w:rsidRDefault="00E85775" w:rsidP="000F7994">
      <w:pPr>
        <w:pStyle w:val="Titre2"/>
      </w:pPr>
      <w:bookmarkStart w:id="168" w:name="_Toc507666639"/>
      <w:bookmarkStart w:id="169" w:name="_Toc50109576"/>
      <w:bookmarkStart w:id="170" w:name="_Toc207979761"/>
      <w:r w:rsidRPr="00E85775">
        <w:t>10.1. Contenu des prix.</w:t>
      </w:r>
      <w:bookmarkEnd w:id="168"/>
      <w:bookmarkEnd w:id="169"/>
      <w:bookmarkEnd w:id="170"/>
      <w:r w:rsidRPr="00E85775">
        <w:t xml:space="preserve"> </w:t>
      </w:r>
    </w:p>
    <w:p w14:paraId="334350EA" w14:textId="77777777" w:rsidR="00E85775" w:rsidRPr="00E85775" w:rsidRDefault="00E85775" w:rsidP="00C7548A"/>
    <w:p w14:paraId="3883F6A7" w14:textId="77777777" w:rsidR="00E85775" w:rsidRPr="00E85775" w:rsidRDefault="00E85775" w:rsidP="00C7548A">
      <w:r w:rsidRPr="00E85775">
        <w:t>Les prix compren</w:t>
      </w:r>
      <w:r w:rsidR="0094492C">
        <w:t>nent</w:t>
      </w:r>
      <w:r w:rsidRPr="00E85775">
        <w:t xml:space="preserve"> toutes les charges fiscales ainsi que toutes les sujétions liées à l'exécution des prestations telles que :</w:t>
      </w:r>
    </w:p>
    <w:p w14:paraId="6B268C60" w14:textId="77777777" w:rsidR="00E85775" w:rsidRPr="00E85775" w:rsidRDefault="00E85775" w:rsidP="00C7548A">
      <w:r w:rsidRPr="00E85775">
        <w:t>- frais de restauration, d'hébergement et de déplacement ;</w:t>
      </w:r>
    </w:p>
    <w:p w14:paraId="40E41E7C" w14:textId="1ABF2FBB" w:rsidR="00E85775" w:rsidRPr="00E85775" w:rsidRDefault="00FD3E64" w:rsidP="00C7548A">
      <w:r>
        <w:t>- frais de documentation</w:t>
      </w:r>
      <w:r w:rsidR="00D166AE">
        <w:t xml:space="preserve"> </w:t>
      </w:r>
      <w:r w:rsidR="00E85775" w:rsidRPr="00E85775">
        <w:t>;</w:t>
      </w:r>
      <w:r w:rsidR="00882F24">
        <w:t xml:space="preserve"> </w:t>
      </w:r>
    </w:p>
    <w:p w14:paraId="0A724C33" w14:textId="58E61375" w:rsidR="00E85775" w:rsidRDefault="00E85775" w:rsidP="00C7548A">
      <w:r w:rsidRPr="00E85775">
        <w:t>- assurance ;</w:t>
      </w:r>
    </w:p>
    <w:p w14:paraId="0D85459A" w14:textId="42263F64" w:rsidR="00D17C63" w:rsidRPr="00E85775" w:rsidRDefault="00D17C63" w:rsidP="00C7548A">
      <w:r>
        <w:t>- transport jusqu’au lieu de livraison ;</w:t>
      </w:r>
    </w:p>
    <w:p w14:paraId="5DE1E923" w14:textId="57B7B3C8" w:rsidR="00E85775" w:rsidRPr="00E85775" w:rsidRDefault="00FD3E64" w:rsidP="00D166AE">
      <w:r>
        <w:t>- frais</w:t>
      </w:r>
      <w:r w:rsidR="00D17C63">
        <w:t xml:space="preserve"> afférents à la cession des droits</w:t>
      </w:r>
      <w:r>
        <w:t xml:space="preserve"> </w:t>
      </w:r>
      <w:r w:rsidR="00D166AE">
        <w:t>de propriété intellectuelle.</w:t>
      </w:r>
    </w:p>
    <w:p w14:paraId="3EB9CECA" w14:textId="77777777" w:rsidR="00E85775" w:rsidRPr="00E85775" w:rsidRDefault="00E85775" w:rsidP="00C7548A"/>
    <w:p w14:paraId="793EE482" w14:textId="77777777" w:rsidR="00E85775" w:rsidRPr="00E85775" w:rsidRDefault="00E85775" w:rsidP="000F7994">
      <w:pPr>
        <w:pStyle w:val="Titre2"/>
      </w:pPr>
      <w:bookmarkStart w:id="171" w:name="_Toc507666640"/>
      <w:bookmarkStart w:id="172" w:name="_Toc50109577"/>
      <w:bookmarkStart w:id="173" w:name="_Toc207979762"/>
      <w:r w:rsidRPr="00E85775">
        <w:t>10.2. Type des prix.</w:t>
      </w:r>
      <w:bookmarkEnd w:id="171"/>
      <w:bookmarkEnd w:id="172"/>
      <w:bookmarkEnd w:id="173"/>
    </w:p>
    <w:p w14:paraId="7CD15A37" w14:textId="77777777" w:rsidR="00E85775" w:rsidRPr="00E85775" w:rsidRDefault="00E85775" w:rsidP="00C7548A"/>
    <w:p w14:paraId="067EEE17" w14:textId="0851E731" w:rsidR="0094492C" w:rsidRPr="0094492C" w:rsidRDefault="0094492C" w:rsidP="0094492C">
      <w:pPr>
        <w:spacing w:after="120"/>
      </w:pPr>
      <w:r w:rsidRPr="0094492C">
        <w:t>Les</w:t>
      </w:r>
      <w:r w:rsidR="007B412B">
        <w:t xml:space="preserve"> prix des postes </w:t>
      </w:r>
      <w:r w:rsidR="00972500">
        <w:t xml:space="preserve">forfaitaires </w:t>
      </w:r>
      <w:r w:rsidR="007B412B">
        <w:t xml:space="preserve">PF1 </w:t>
      </w:r>
      <w:r w:rsidR="00FD3E64">
        <w:t>et PF</w:t>
      </w:r>
      <w:r w:rsidR="007B412B">
        <w:t>2</w:t>
      </w:r>
      <w:r w:rsidRPr="0094492C">
        <w:t xml:space="preserve"> sont forfaitaires. </w:t>
      </w:r>
    </w:p>
    <w:p w14:paraId="4E809071" w14:textId="49C8AF44" w:rsidR="00E85775" w:rsidRPr="00E85775" w:rsidRDefault="0094492C" w:rsidP="0094492C">
      <w:r w:rsidRPr="0094492C">
        <w:t>Le</w:t>
      </w:r>
      <w:r w:rsidR="00AE67CE">
        <w:t>s</w:t>
      </w:r>
      <w:r w:rsidR="001A03E3">
        <w:t xml:space="preserve"> prix </w:t>
      </w:r>
      <w:r w:rsidR="00972500">
        <w:t xml:space="preserve">des unités d’œuvre </w:t>
      </w:r>
      <w:r w:rsidR="001A03E3">
        <w:t xml:space="preserve">du poste à bons de </w:t>
      </w:r>
      <w:r w:rsidR="00111616">
        <w:t>commande (</w:t>
      </w:r>
      <w:r w:rsidR="001A03E3">
        <w:t>UO</w:t>
      </w:r>
      <w:r w:rsidRPr="0094492C">
        <w:t>1</w:t>
      </w:r>
      <w:r w:rsidR="00AE67CE">
        <w:t xml:space="preserve"> et </w:t>
      </w:r>
      <w:r w:rsidR="001A03E3">
        <w:t>UO</w:t>
      </w:r>
      <w:r w:rsidR="00AE67CE">
        <w:t>2</w:t>
      </w:r>
      <w:r w:rsidR="001A03E3">
        <w:t>)</w:t>
      </w:r>
      <w:r w:rsidR="00AE67CE">
        <w:t xml:space="preserve"> sont </w:t>
      </w:r>
      <w:r w:rsidRPr="0094492C">
        <w:t>unitaire</w:t>
      </w:r>
      <w:r w:rsidR="00AE67CE">
        <w:t>s</w:t>
      </w:r>
      <w:r w:rsidR="00E85775" w:rsidRPr="00E85775">
        <w:t>.</w:t>
      </w:r>
    </w:p>
    <w:p w14:paraId="35321FB6" w14:textId="77777777" w:rsidR="00E85775" w:rsidRPr="00E85775" w:rsidRDefault="00E85775" w:rsidP="00C7548A"/>
    <w:p w14:paraId="5EF748BB" w14:textId="77777777" w:rsidR="00E85775" w:rsidRPr="00E85775" w:rsidRDefault="00E85775" w:rsidP="000F7994">
      <w:pPr>
        <w:pStyle w:val="Titre2"/>
      </w:pPr>
      <w:bookmarkStart w:id="174" w:name="_Toc507666641"/>
      <w:bookmarkStart w:id="175" w:name="_Toc50109578"/>
      <w:bookmarkStart w:id="176" w:name="_Toc207979763"/>
      <w:r w:rsidRPr="00E85775">
        <w:t>10.3. Variation des prix.</w:t>
      </w:r>
      <w:bookmarkEnd w:id="174"/>
      <w:bookmarkEnd w:id="175"/>
      <w:bookmarkEnd w:id="176"/>
    </w:p>
    <w:p w14:paraId="4FAE0FF0" w14:textId="77777777" w:rsidR="00E85775" w:rsidRPr="00E85775" w:rsidRDefault="00E85775" w:rsidP="00C7548A"/>
    <w:p w14:paraId="63A65A81" w14:textId="77777777" w:rsidR="00E85775" w:rsidRPr="00E85775" w:rsidRDefault="00732926" w:rsidP="00C7548A">
      <w:r>
        <w:t>Pour chaque poste, l</w:t>
      </w:r>
      <w:r w:rsidR="00E85775" w:rsidRPr="00E85775">
        <w:t xml:space="preserve">es prix sont </w:t>
      </w:r>
      <w:r w:rsidR="001571C5">
        <w:t>révisables</w:t>
      </w:r>
      <w:r w:rsidR="00E85775" w:rsidRPr="00E85775">
        <w:t>.</w:t>
      </w:r>
    </w:p>
    <w:p w14:paraId="7FEAEB6A" w14:textId="77777777" w:rsidR="00E85775" w:rsidRPr="00E85775" w:rsidRDefault="00E85775" w:rsidP="00C7548A"/>
    <w:p w14:paraId="72563891" w14:textId="188C3044" w:rsidR="00E85775" w:rsidRPr="00630631" w:rsidRDefault="00203BD8" w:rsidP="000F7994">
      <w:pPr>
        <w:pStyle w:val="Titre2"/>
        <w:rPr>
          <w:lang w:val="fr-FR"/>
        </w:rPr>
      </w:pPr>
      <w:bookmarkStart w:id="177" w:name="_Toc507666642"/>
      <w:bookmarkStart w:id="178" w:name="_Toc50109579"/>
      <w:bookmarkStart w:id="179" w:name="_Toc207979764"/>
      <w:r>
        <w:t xml:space="preserve">10.4. </w:t>
      </w:r>
      <w:r w:rsidR="00EF2EC4">
        <w:rPr>
          <w:lang w:val="fr-FR"/>
        </w:rPr>
        <w:t>R</w:t>
      </w:r>
      <w:r w:rsidR="00AE67CE" w:rsidRPr="00E85775">
        <w:t>évision</w:t>
      </w:r>
      <w:r>
        <w:t xml:space="preserve"> </w:t>
      </w:r>
      <w:r w:rsidR="00E85775" w:rsidRPr="00E85775">
        <w:t>des prix.</w:t>
      </w:r>
      <w:bookmarkEnd w:id="177"/>
      <w:bookmarkEnd w:id="178"/>
      <w:bookmarkEnd w:id="179"/>
      <w:r w:rsidR="00630631">
        <w:rPr>
          <w:lang w:val="fr-FR"/>
        </w:rPr>
        <w:t xml:space="preserve"> </w:t>
      </w:r>
    </w:p>
    <w:p w14:paraId="70C504A4" w14:textId="0261605F" w:rsidR="00E85775" w:rsidRDefault="00E85775" w:rsidP="00C7548A"/>
    <w:p w14:paraId="11CABEE3" w14:textId="77777777" w:rsidR="00D17C63" w:rsidRPr="00C849CA" w:rsidRDefault="00D17C63" w:rsidP="00C849CA">
      <w:pPr>
        <w:pStyle w:val="Titre6"/>
      </w:pPr>
      <w:r w:rsidRPr="002B649C">
        <w:t>10.4.1</w:t>
      </w:r>
      <w:r>
        <w:t>. Mois d’établissement des prix</w:t>
      </w:r>
    </w:p>
    <w:p w14:paraId="614C9E81" w14:textId="77777777" w:rsidR="00C849CA" w:rsidRDefault="00C849CA" w:rsidP="00D17C63">
      <w:pPr>
        <w:rPr>
          <w:rFonts w:cs="Arial"/>
        </w:rPr>
      </w:pPr>
    </w:p>
    <w:p w14:paraId="2A09CA15" w14:textId="78CCBBC6" w:rsidR="00D17C63" w:rsidRDefault="00D17C63" w:rsidP="00D17C63">
      <w:pPr>
        <w:rPr>
          <w:rFonts w:cs="Arial"/>
        </w:rPr>
      </w:pPr>
      <w:r w:rsidRPr="002B649C">
        <w:rPr>
          <w:rFonts w:cs="Arial"/>
        </w:rPr>
        <w:t>Par dérogation</w:t>
      </w:r>
      <w:r>
        <w:rPr>
          <w:rFonts w:cs="Arial"/>
        </w:rPr>
        <w:t xml:space="preserve"> à l’article 10.2.4</w:t>
      </w:r>
      <w:r w:rsidRPr="002B649C">
        <w:rPr>
          <w:rFonts w:cs="Arial"/>
        </w:rPr>
        <w:t xml:space="preserve"> du CCAG/PI, les prix sont établis selon les conditions économiques en vigueur à la date de signature du présent accord-cadre par le titulaire.</w:t>
      </w:r>
    </w:p>
    <w:p w14:paraId="6CBAD4C8" w14:textId="35D0E89E" w:rsidR="00D17C63" w:rsidRDefault="00D17C63" w:rsidP="00C7548A"/>
    <w:p w14:paraId="5188942A" w14:textId="77777777" w:rsidR="00D17C63" w:rsidRPr="00C849CA" w:rsidRDefault="00D17C63" w:rsidP="00C849CA">
      <w:pPr>
        <w:pStyle w:val="Titre6"/>
      </w:pPr>
      <w:r w:rsidRPr="002B649C">
        <w:t>10.4.2.</w:t>
      </w:r>
      <w:r>
        <w:t xml:space="preserve"> Modalités de révision des prix</w:t>
      </w:r>
    </w:p>
    <w:p w14:paraId="561576BF" w14:textId="77777777" w:rsidR="00D17C63" w:rsidRDefault="00D17C63" w:rsidP="00C7548A"/>
    <w:p w14:paraId="514FEC0E" w14:textId="158E455A" w:rsidR="00E85775" w:rsidRPr="00E85775" w:rsidRDefault="00F93720" w:rsidP="00C7548A">
      <w:r>
        <w:t>En cas de reconduction, l</w:t>
      </w:r>
      <w:r w:rsidR="00D17C63">
        <w:t>es</w:t>
      </w:r>
      <w:r w:rsidR="00895E83" w:rsidRPr="00FE33AF">
        <w:rPr>
          <w:color w:val="000000" w:themeColor="text1"/>
        </w:rPr>
        <w:t xml:space="preserve"> </w:t>
      </w:r>
      <w:r w:rsidR="00895E83">
        <w:t xml:space="preserve">prix </w:t>
      </w:r>
      <w:r w:rsidR="00D17C63">
        <w:t xml:space="preserve">sont </w:t>
      </w:r>
      <w:r w:rsidR="00BF6E7E">
        <w:t>révisés</w:t>
      </w:r>
      <w:r w:rsidR="00895E83">
        <w:t xml:space="preserve"> </w:t>
      </w:r>
      <w:r w:rsidR="00895E83" w:rsidRPr="00990D54">
        <w:rPr>
          <w:rFonts w:cs="Arial"/>
        </w:rPr>
        <w:t>à T</w:t>
      </w:r>
      <w:r w:rsidR="00895E83" w:rsidRPr="00990D54">
        <w:rPr>
          <w:rFonts w:cs="Arial"/>
          <w:vertAlign w:val="subscript"/>
        </w:rPr>
        <w:t xml:space="preserve">0 </w:t>
      </w:r>
      <w:r w:rsidR="00C07B6A">
        <w:rPr>
          <w:rFonts w:cs="Arial"/>
        </w:rPr>
        <w:t>+ 24</w:t>
      </w:r>
      <w:r w:rsidR="00895E83" w:rsidRPr="00990D54">
        <w:rPr>
          <w:rFonts w:cs="Arial"/>
        </w:rPr>
        <w:t xml:space="preserve"> mois, T</w:t>
      </w:r>
      <w:r w:rsidR="00895E83" w:rsidRPr="00990D54">
        <w:rPr>
          <w:rFonts w:cs="Arial"/>
          <w:vertAlign w:val="subscript"/>
        </w:rPr>
        <w:t>0</w:t>
      </w:r>
      <w:r w:rsidR="00895E83" w:rsidRPr="00990D54">
        <w:rPr>
          <w:rFonts w:cs="Arial"/>
        </w:rPr>
        <w:t xml:space="preserve"> correspondant </w:t>
      </w:r>
      <w:r w:rsidR="00895E83" w:rsidRPr="00990D54">
        <w:rPr>
          <w:rFonts w:cs="Arial"/>
          <w:color w:val="000000"/>
        </w:rPr>
        <w:t xml:space="preserve">à la date de notification </w:t>
      </w:r>
      <w:r w:rsidR="004735BC">
        <w:rPr>
          <w:rFonts w:cs="Arial"/>
          <w:color w:val="000000"/>
        </w:rPr>
        <w:t>de l’accord-cadre</w:t>
      </w:r>
      <w:r w:rsidR="00203BD8">
        <w:rPr>
          <w:rFonts w:cs="Arial"/>
          <w:color w:val="000000"/>
        </w:rPr>
        <w:t xml:space="preserve"> </w:t>
      </w:r>
      <w:r w:rsidR="00E85775" w:rsidRPr="00E85775">
        <w:t>:</w:t>
      </w:r>
    </w:p>
    <w:p w14:paraId="021FC542" w14:textId="77777777" w:rsidR="00E85775" w:rsidRPr="00E85775" w:rsidRDefault="00E85775" w:rsidP="00C7548A"/>
    <w:p w14:paraId="5A41F416" w14:textId="77777777" w:rsidR="00FD3E64" w:rsidRPr="004C1234" w:rsidRDefault="00FD3E64" w:rsidP="00FD3E64">
      <w:pPr>
        <w:rPr>
          <w:lang w:val="x-none"/>
        </w:rPr>
      </w:pPr>
      <w:r w:rsidRPr="004C1234">
        <w:rPr>
          <w:lang w:val="x-none"/>
        </w:rPr>
        <w:t>Le montant révisé des prestations est obtenu par application de la formule suivante :</w:t>
      </w:r>
    </w:p>
    <w:p w14:paraId="2F3DDA51" w14:textId="77777777" w:rsidR="00FD3E64" w:rsidRPr="004C1234" w:rsidRDefault="00FD3E64" w:rsidP="00FD3E64">
      <w:pPr>
        <w:rPr>
          <w:lang w:val="x-none"/>
        </w:rPr>
      </w:pPr>
    </w:p>
    <w:p w14:paraId="72ED2599" w14:textId="77777777" w:rsidR="00FD3E64" w:rsidRPr="004C1234" w:rsidRDefault="00FD3E64" w:rsidP="00FD3E64">
      <w:pPr>
        <w:jc w:val="center"/>
      </w:pPr>
      <w:r w:rsidRPr="004C1234">
        <w:t>P = P0 [0,15 + 0,85 (Im / I0)]</w:t>
      </w:r>
    </w:p>
    <w:p w14:paraId="0EC84610" w14:textId="77777777" w:rsidR="00FD3E64" w:rsidRPr="004C1234" w:rsidRDefault="00FD3E64" w:rsidP="00FD3E64"/>
    <w:p w14:paraId="34348172" w14:textId="77777777" w:rsidR="00FD3E64" w:rsidRPr="004C1234" w:rsidRDefault="00FD3E64" w:rsidP="00FD3E64">
      <w:proofErr w:type="gramStart"/>
      <w:r w:rsidRPr="004C1234">
        <w:t>dans</w:t>
      </w:r>
      <w:proofErr w:type="gramEnd"/>
      <w:r w:rsidRPr="004C1234">
        <w:t xml:space="preserve"> laquelle :</w:t>
      </w:r>
    </w:p>
    <w:p w14:paraId="5D56BDA4" w14:textId="77777777" w:rsidR="00FD3E64" w:rsidRPr="004C1234" w:rsidRDefault="00FD3E64" w:rsidP="001F4617">
      <w:pPr>
        <w:numPr>
          <w:ilvl w:val="0"/>
          <w:numId w:val="19"/>
        </w:numPr>
        <w:spacing w:before="60"/>
        <w:ind w:left="284" w:hanging="284"/>
      </w:pPr>
      <w:r w:rsidRPr="004C1234">
        <w:t>P = Prix de règlement (prix révisé) ;</w:t>
      </w:r>
    </w:p>
    <w:p w14:paraId="63B62480" w14:textId="4BA9EFEC" w:rsidR="00FD3E64" w:rsidRPr="004C1234" w:rsidRDefault="00AC1FD2" w:rsidP="001F4617">
      <w:pPr>
        <w:numPr>
          <w:ilvl w:val="0"/>
          <w:numId w:val="19"/>
        </w:numPr>
        <w:spacing w:before="60"/>
        <w:ind w:left="284" w:hanging="284"/>
      </w:pPr>
      <w:r>
        <w:t xml:space="preserve">P0 = Prix à la date de notification de l’accord-cadre </w:t>
      </w:r>
      <w:r w:rsidR="00FD3E64" w:rsidRPr="004C1234">
        <w:t>au mois tel que défini à l’article 10.4.1 du présent document ;</w:t>
      </w:r>
    </w:p>
    <w:p w14:paraId="5DA3403A" w14:textId="77777777" w:rsidR="00FD3E64" w:rsidRPr="004C1234" w:rsidRDefault="00FD3E64" w:rsidP="001F4617">
      <w:pPr>
        <w:numPr>
          <w:ilvl w:val="0"/>
          <w:numId w:val="19"/>
        </w:numPr>
        <w:spacing w:before="60"/>
        <w:ind w:left="284" w:hanging="284"/>
      </w:pPr>
      <w:r w:rsidRPr="004C1234">
        <w:t>Im = désigne la dernière valeur connue, à la date de révision des prix, de l'indice du coût horaire du travail – Services, administratifs, soutien – identifiant 001565196 sur la Banque de données macro-économiques (BDM) de l’INSEE (Institut national de la statistique et des études économiques) ;</w:t>
      </w:r>
    </w:p>
    <w:p w14:paraId="5AE3E954" w14:textId="77777777" w:rsidR="00FD3E64" w:rsidRPr="004C1234" w:rsidRDefault="00FD3E64" w:rsidP="001F4617">
      <w:pPr>
        <w:numPr>
          <w:ilvl w:val="0"/>
          <w:numId w:val="19"/>
        </w:numPr>
        <w:spacing w:before="60"/>
        <w:ind w:left="284" w:hanging="284"/>
      </w:pPr>
      <w:r w:rsidRPr="004C1234">
        <w:t>I0 = désigne la valeur de l'indice</w:t>
      </w:r>
      <w:r w:rsidRPr="004C1234">
        <w:rPr>
          <w:i/>
          <w:iCs/>
        </w:rPr>
        <w:t xml:space="preserve"> </w:t>
      </w:r>
      <w:r w:rsidRPr="004C1234">
        <w:t>du coût horaire du travail – Services, administratifs, soutien – identifiant 001565196 sur la Banque de données macro-économiques (BDM) de l’INSEE (Institut national de la statistique et des études économiques) au mois tel que défini à l’article 10.4.1 du présent document.</w:t>
      </w:r>
    </w:p>
    <w:p w14:paraId="0D093AD6" w14:textId="77777777" w:rsidR="004F6B44" w:rsidRPr="00E85775" w:rsidRDefault="004F6B44" w:rsidP="00895E83"/>
    <w:p w14:paraId="02580ECC" w14:textId="77777777" w:rsidR="00895E83" w:rsidRPr="00E85775" w:rsidRDefault="00895E83" w:rsidP="00895E83">
      <w:r w:rsidRPr="00E85775">
        <w:t>Les modalités de révision de prix sont les suivantes :</w:t>
      </w:r>
    </w:p>
    <w:p w14:paraId="7BBD0399" w14:textId="3D993B33" w:rsidR="00895E83" w:rsidRPr="00E85775" w:rsidRDefault="00895E83" w:rsidP="009F0863">
      <w:pPr>
        <w:tabs>
          <w:tab w:val="left" w:pos="284"/>
        </w:tabs>
        <w:spacing w:before="60"/>
        <w:ind w:left="284" w:hanging="284"/>
      </w:pPr>
      <w:r>
        <w:t xml:space="preserve">- </w:t>
      </w:r>
      <w:r w:rsidR="00714819">
        <w:tab/>
      </w:r>
      <w:r w:rsidRPr="00E85775">
        <w:t>à la date de révision des prix, l’administration</w:t>
      </w:r>
      <w:r w:rsidR="00CA7F61">
        <w:t xml:space="preserve"> opère</w:t>
      </w:r>
      <w:r w:rsidRPr="00E85775">
        <w:t xml:space="preserve"> la révision de prix, telle qu’elle résulte de </w:t>
      </w:r>
      <w:r w:rsidR="001041FB" w:rsidRPr="00E85775">
        <w:t xml:space="preserve">l’application </w:t>
      </w:r>
      <w:r w:rsidR="001041FB">
        <w:rPr>
          <w:color w:val="000000" w:themeColor="text1"/>
        </w:rPr>
        <w:t>du</w:t>
      </w:r>
      <w:r w:rsidRPr="000E479E">
        <w:rPr>
          <w:color w:val="000000" w:themeColor="text1"/>
        </w:rPr>
        <w:t xml:space="preserve"> présent </w:t>
      </w:r>
      <w:r w:rsidR="00D17C63">
        <w:rPr>
          <w:color w:val="000000" w:themeColor="text1"/>
        </w:rPr>
        <w:t>article</w:t>
      </w:r>
      <w:r w:rsidRPr="00E85775">
        <w:t>. Elle en informe le titulaire ;</w:t>
      </w:r>
    </w:p>
    <w:p w14:paraId="1D40104A" w14:textId="5483F45C" w:rsidR="00E85775" w:rsidRPr="004318EB" w:rsidRDefault="00895E83" w:rsidP="009F0863">
      <w:pPr>
        <w:tabs>
          <w:tab w:val="left" w:pos="284"/>
        </w:tabs>
        <w:spacing w:before="60"/>
        <w:ind w:left="284" w:hanging="284"/>
      </w:pPr>
      <w:r>
        <w:t xml:space="preserve">- </w:t>
      </w:r>
      <w:r w:rsidR="00714819">
        <w:tab/>
      </w:r>
      <w:r w:rsidRPr="00E85775">
        <w:t xml:space="preserve">pour les commandes réalisées après la révision de prix, le titulaire devra présenter des factures avec le montant hors taxe des prestations, le montant hors taxe révisé. Le titulaire </w:t>
      </w:r>
      <w:r w:rsidR="001C564F">
        <w:t>joint</w:t>
      </w:r>
      <w:r w:rsidR="001C564F" w:rsidRPr="00E85775">
        <w:t xml:space="preserve"> </w:t>
      </w:r>
      <w:r w:rsidRPr="00E85775">
        <w:t>également à sa facture le détail du calcul de révision de prix.</w:t>
      </w:r>
    </w:p>
    <w:p w14:paraId="3DBDA0F4" w14:textId="77777777" w:rsidR="00E85775" w:rsidRPr="00E85775" w:rsidRDefault="00E85775" w:rsidP="00C7548A"/>
    <w:p w14:paraId="2ED481B7" w14:textId="77777777" w:rsidR="00E85775" w:rsidRPr="00E85775" w:rsidRDefault="00E85775" w:rsidP="009F0863">
      <w:pPr>
        <w:pStyle w:val="Titre2"/>
        <w:keepNext/>
      </w:pPr>
      <w:bookmarkStart w:id="180" w:name="_Toc507666647"/>
      <w:bookmarkStart w:id="181" w:name="_Toc50109584"/>
      <w:bookmarkStart w:id="182" w:name="_Toc207979765"/>
      <w:r w:rsidRPr="00E85775">
        <w:lastRenderedPageBreak/>
        <w:t>10.5. Unité monétaire – TVA.</w:t>
      </w:r>
      <w:bookmarkEnd w:id="180"/>
      <w:bookmarkEnd w:id="181"/>
      <w:bookmarkEnd w:id="182"/>
    </w:p>
    <w:p w14:paraId="2981117D" w14:textId="77777777" w:rsidR="00E85775" w:rsidRPr="00E85775" w:rsidRDefault="00E85775" w:rsidP="009F0863">
      <w:pPr>
        <w:keepNext/>
      </w:pPr>
    </w:p>
    <w:p w14:paraId="5788B13D" w14:textId="2060F760" w:rsidR="00E85775" w:rsidRDefault="00850DC1" w:rsidP="009F0863">
      <w:pPr>
        <w:keepNext/>
      </w:pPr>
      <w:r>
        <w:t>La monnaie du présent accord-cadre est l’euro</w:t>
      </w:r>
      <w:r w:rsidR="00E85775" w:rsidRPr="00E85775">
        <w:t>.</w:t>
      </w:r>
    </w:p>
    <w:p w14:paraId="42FED8C5" w14:textId="25042461" w:rsidR="00AC1FD2" w:rsidRDefault="00AC1FD2" w:rsidP="00C7548A"/>
    <w:p w14:paraId="3CC7358A" w14:textId="77777777" w:rsidR="00AC1FD2" w:rsidRDefault="00AC1FD2" w:rsidP="00AC1FD2">
      <w:pPr>
        <w:pStyle w:val="Titre2"/>
      </w:pPr>
      <w:bookmarkStart w:id="183" w:name="_Toc207979766"/>
      <w:r>
        <w:t xml:space="preserve">10.6. </w:t>
      </w:r>
      <w:bookmarkStart w:id="184" w:name="_Toc192670096"/>
      <w:r>
        <w:t xml:space="preserve">Paiement de la </w:t>
      </w:r>
      <w:r w:rsidRPr="001746C0">
        <w:t>TVA</w:t>
      </w:r>
      <w:r>
        <w:t xml:space="preserve"> pour les prestations de services exécutées par un titulaire français</w:t>
      </w:r>
      <w:r w:rsidRPr="001746C0">
        <w:t>.</w:t>
      </w:r>
      <w:bookmarkEnd w:id="183"/>
      <w:bookmarkEnd w:id="184"/>
    </w:p>
    <w:p w14:paraId="32046048" w14:textId="59E21F97" w:rsidR="00E85775" w:rsidRPr="00E85775" w:rsidRDefault="00E85775" w:rsidP="00C7548A"/>
    <w:p w14:paraId="6CEE6BF1" w14:textId="4832E39B" w:rsidR="00E85775" w:rsidRDefault="00E85775" w:rsidP="00C7548A">
      <w:r w:rsidRPr="00E85775">
        <w:t xml:space="preserve">Les prestations exécutées au titre du présent </w:t>
      </w:r>
      <w:r w:rsidR="00203BD8">
        <w:t>accord-cadre</w:t>
      </w:r>
      <w:r w:rsidRPr="00E85775">
        <w:t xml:space="preserve"> sont assujetties à la taxe sur la valeur ajoutée au taux normal en vigueur lors du fait générateur.</w:t>
      </w:r>
    </w:p>
    <w:p w14:paraId="6352902A" w14:textId="462840D3" w:rsidR="00AC1FD2" w:rsidRDefault="00AC1FD2" w:rsidP="00C7548A"/>
    <w:p w14:paraId="256C2E14" w14:textId="16220553" w:rsidR="00AC1FD2" w:rsidRDefault="00AC1FD2" w:rsidP="00AC1FD2">
      <w:pPr>
        <w:pStyle w:val="Titre2"/>
        <w:rPr>
          <w:lang w:val="fr-FR"/>
        </w:rPr>
      </w:pPr>
      <w:bookmarkStart w:id="185" w:name="_Toc207979767"/>
      <w:r w:rsidRPr="00AC1FD2">
        <w:t>10.7</w:t>
      </w:r>
      <w:r>
        <w:t xml:space="preserve">. </w:t>
      </w:r>
      <w:bookmarkStart w:id="186" w:name="_Toc192670097"/>
      <w:r>
        <w:t>Paiement de la TVA pour les prestations de service exécutées par un titulaire étranger</w:t>
      </w:r>
      <w:bookmarkEnd w:id="186"/>
      <w:r>
        <w:rPr>
          <w:lang w:val="fr-FR"/>
        </w:rPr>
        <w:t>.</w:t>
      </w:r>
      <w:bookmarkEnd w:id="185"/>
    </w:p>
    <w:p w14:paraId="3232F1B5" w14:textId="2C93B41A" w:rsidR="00AC1FD2" w:rsidRDefault="00AC1FD2" w:rsidP="00AC1FD2">
      <w:pPr>
        <w:rPr>
          <w:lang w:eastAsia="x-none"/>
        </w:rPr>
      </w:pPr>
    </w:p>
    <w:p w14:paraId="51DEB414" w14:textId="1EC83730" w:rsidR="001C564F" w:rsidRPr="00AC1FD2" w:rsidRDefault="00AC1FD2" w:rsidP="00C7548A">
      <w:pPr>
        <w:rPr>
          <w:rFonts w:cs="Arial"/>
        </w:rPr>
      </w:pPr>
      <w:r w:rsidRPr="00F81021">
        <w:rPr>
          <w:rFonts w:cs="Arial"/>
        </w:rPr>
        <w:t>Le marché est établi hors taxes. Celles-ci seront payées directement par l’acheteur auprès de la Direction Générale des Finances Publiques (</w:t>
      </w:r>
      <w:proofErr w:type="spellStart"/>
      <w:r w:rsidRPr="00F81021">
        <w:rPr>
          <w:rFonts w:cs="Arial"/>
        </w:rPr>
        <w:t>DGFiP</w:t>
      </w:r>
      <w:proofErr w:type="spellEnd"/>
      <w:r w:rsidRPr="00F81021">
        <w:rPr>
          <w:rFonts w:cs="Arial"/>
        </w:rPr>
        <w:t>).</w:t>
      </w:r>
    </w:p>
    <w:p w14:paraId="6A74565C" w14:textId="77777777" w:rsidR="00E85775" w:rsidRPr="00C849CA" w:rsidRDefault="00E85775" w:rsidP="00C849CA">
      <w:pPr>
        <w:pStyle w:val="Titre1"/>
        <w:keepLines/>
        <w:numPr>
          <w:ilvl w:val="0"/>
          <w:numId w:val="0"/>
        </w:numPr>
        <w:spacing w:before="240" w:after="0"/>
        <w:rPr>
          <w:rFonts w:ascii="Arial" w:hAnsi="Arial" w:cs="Arial"/>
          <w:sz w:val="22"/>
          <w:szCs w:val="22"/>
        </w:rPr>
      </w:pPr>
      <w:bookmarkStart w:id="187" w:name="_Toc507666648"/>
      <w:bookmarkStart w:id="188" w:name="_Toc50109585"/>
      <w:bookmarkStart w:id="189" w:name="_Toc207979768"/>
      <w:r w:rsidRPr="00C849CA">
        <w:rPr>
          <w:rFonts w:ascii="Arial" w:hAnsi="Arial" w:cs="Arial"/>
          <w:sz w:val="22"/>
          <w:szCs w:val="22"/>
        </w:rPr>
        <w:t>ARTICLE 11 - CONDITIONS DE PAIEMENT.</w:t>
      </w:r>
      <w:bookmarkEnd w:id="187"/>
      <w:bookmarkEnd w:id="188"/>
      <w:bookmarkEnd w:id="189"/>
    </w:p>
    <w:p w14:paraId="0C220754" w14:textId="77777777" w:rsidR="00E85775" w:rsidRPr="00E85775" w:rsidRDefault="00E85775" w:rsidP="00C7548A"/>
    <w:p w14:paraId="107FD751" w14:textId="77777777" w:rsidR="00E85775" w:rsidRPr="00E85775" w:rsidRDefault="00E85775" w:rsidP="000F7994">
      <w:pPr>
        <w:pStyle w:val="Titre2"/>
      </w:pPr>
      <w:bookmarkStart w:id="190" w:name="_Toc507666649"/>
      <w:bookmarkStart w:id="191" w:name="_Toc50109586"/>
      <w:bookmarkStart w:id="192" w:name="_Toc207979769"/>
      <w:r w:rsidRPr="00E85775">
        <w:t>11.1. Avance.</w:t>
      </w:r>
      <w:bookmarkEnd w:id="190"/>
      <w:bookmarkEnd w:id="191"/>
      <w:bookmarkEnd w:id="192"/>
    </w:p>
    <w:p w14:paraId="137401F0" w14:textId="77777777" w:rsidR="00E85775" w:rsidRPr="00E85775" w:rsidRDefault="00E85775" w:rsidP="00C7548A"/>
    <w:p w14:paraId="647B20EA" w14:textId="77777777" w:rsidR="00E85775" w:rsidRPr="00E85775" w:rsidRDefault="00E85775" w:rsidP="00C7548A">
      <w:pPr>
        <w:pStyle w:val="Titre6"/>
      </w:pPr>
      <w:bookmarkStart w:id="193" w:name="_Toc507666650"/>
      <w:bookmarkStart w:id="194" w:name="_Toc50109587"/>
      <w:r w:rsidRPr="00E85775">
        <w:t>11.1.1. Calcul et montant de l'avance.</w:t>
      </w:r>
      <w:bookmarkEnd w:id="193"/>
      <w:bookmarkEnd w:id="194"/>
    </w:p>
    <w:p w14:paraId="62AA8AD8" w14:textId="77777777" w:rsidR="0020754D" w:rsidRPr="00B32FEF" w:rsidRDefault="0020754D" w:rsidP="0020754D"/>
    <w:p w14:paraId="02C71A82" w14:textId="220A0129" w:rsidR="00D07615" w:rsidRDefault="00D114BE" w:rsidP="006A021D">
      <w:pPr>
        <w:rPr>
          <w:rFonts w:cs="Arial"/>
        </w:rPr>
      </w:pPr>
      <w:r w:rsidRPr="002E651F">
        <w:rPr>
          <w:rFonts w:cs="Arial"/>
        </w:rPr>
        <w:t xml:space="preserve">Pour chaque période d’exécution, </w:t>
      </w:r>
      <w:r w:rsidR="002E651F">
        <w:rPr>
          <w:rFonts w:cs="Arial"/>
        </w:rPr>
        <w:t>e</w:t>
      </w:r>
      <w:r w:rsidR="002E651F" w:rsidRPr="002E651F">
        <w:rPr>
          <w:rFonts w:cs="Arial"/>
        </w:rPr>
        <w:t>n application des dispositions des articles R.</w:t>
      </w:r>
      <w:r w:rsidR="00324FDD">
        <w:rPr>
          <w:rFonts w:cs="Arial"/>
        </w:rPr>
        <w:t xml:space="preserve"> 2191-3, R. 2191-17, du deuxième </w:t>
      </w:r>
      <w:r w:rsidR="002E651F" w:rsidRPr="002E651F">
        <w:rPr>
          <w:rFonts w:cs="Arial"/>
        </w:rPr>
        <w:t xml:space="preserve">alinéa de l’article R. 2191-7 du code de la commande publique et de l’article A.11.1 du CCAG/FCS ou CCAG/PI, si le titulaire accepte le versement de l'avance, il lui est versé, dans le délai </w:t>
      </w:r>
      <w:r w:rsidR="002E651F">
        <w:rPr>
          <w:rFonts w:cs="Arial"/>
        </w:rPr>
        <w:t xml:space="preserve">maximum fixé à l'article 11.4 </w:t>
      </w:r>
      <w:r w:rsidR="002E651F" w:rsidRPr="002E651F">
        <w:rPr>
          <w:rFonts w:cs="Arial"/>
        </w:rPr>
        <w:t>du prése</w:t>
      </w:r>
      <w:r w:rsidR="00324FDD">
        <w:rPr>
          <w:rFonts w:cs="Arial"/>
        </w:rPr>
        <w:t xml:space="preserve">nt document, une avance égale de </w:t>
      </w:r>
      <w:r w:rsidR="00C07B6A">
        <w:rPr>
          <w:rFonts w:cs="Arial"/>
        </w:rPr>
        <w:t>10</w:t>
      </w:r>
      <w:r w:rsidR="002E651F">
        <w:rPr>
          <w:rFonts w:cs="Arial"/>
        </w:rPr>
        <w:t>%</w:t>
      </w:r>
      <w:r w:rsidR="002E651F" w:rsidRPr="002E651F">
        <w:rPr>
          <w:rFonts w:cs="Arial"/>
        </w:rPr>
        <w:t xml:space="preserve"> du montant minimum de l’accord-cadre diminué du montant des prestations confiées à des sous-traitants et donnant lieu à paiement direct.</w:t>
      </w:r>
    </w:p>
    <w:p w14:paraId="0985EF96" w14:textId="77777777" w:rsidR="002E651F" w:rsidRPr="009E79BF" w:rsidRDefault="002E651F" w:rsidP="006A021D">
      <w:pPr>
        <w:rPr>
          <w:rFonts w:cs="Arial"/>
        </w:rPr>
      </w:pPr>
    </w:p>
    <w:p w14:paraId="0B24C642" w14:textId="11D0EB4E" w:rsidR="006A021D" w:rsidRPr="009E79BF" w:rsidRDefault="006A021D" w:rsidP="006A021D">
      <w:pPr>
        <w:rPr>
          <w:rFonts w:cs="Arial"/>
        </w:rPr>
      </w:pPr>
      <w:r w:rsidRPr="009E79BF">
        <w:rPr>
          <w:rFonts w:cs="Arial"/>
        </w:rPr>
        <w:t>En application du troisième alinéa de l’article R. 2191-7 du code de la commande publique, le taux de l’avance est porté à 30 % lorsque le titulaire est une petite et moyenne entreprise.</w:t>
      </w:r>
    </w:p>
    <w:p w14:paraId="6CB194A6" w14:textId="7FAFEEF0" w:rsidR="004F6B44" w:rsidRDefault="004F6B44" w:rsidP="006A021D">
      <w:pPr>
        <w:rPr>
          <w:rFonts w:cs="Arial"/>
        </w:rPr>
      </w:pPr>
    </w:p>
    <w:p w14:paraId="6B0CF8DB" w14:textId="74640FBB" w:rsidR="006A021D" w:rsidRPr="001F4617" w:rsidRDefault="006A021D" w:rsidP="006A021D">
      <w:pPr>
        <w:rPr>
          <w:rFonts w:cs="Arial"/>
          <w:b/>
        </w:rPr>
      </w:pPr>
      <w:r w:rsidRPr="009E79BF">
        <w:rPr>
          <w:rFonts w:cs="Arial"/>
        </w:rPr>
        <w:t xml:space="preserve">En application des dispositions de l’article R. 2191-5 du code de la commande publique, </w:t>
      </w:r>
      <w:r w:rsidRPr="001F4617">
        <w:rPr>
          <w:rFonts w:cs="Arial"/>
          <w:b/>
        </w:rPr>
        <w:t>le titulaire peut re</w:t>
      </w:r>
      <w:r w:rsidR="00C858E4" w:rsidRPr="001F4617">
        <w:rPr>
          <w:rFonts w:cs="Arial"/>
          <w:b/>
        </w:rPr>
        <w:t>fuser le versement de l'avance.</w:t>
      </w:r>
      <w:r w:rsidR="00243F79">
        <w:rPr>
          <w:rFonts w:cs="Arial"/>
          <w:b/>
        </w:rPr>
        <w:t xml:space="preserve"> </w:t>
      </w:r>
      <w:r w:rsidR="00C858E4" w:rsidRPr="001F4617">
        <w:rPr>
          <w:rFonts w:cs="Arial"/>
          <w:b/>
        </w:rPr>
        <w:t>A</w:t>
      </w:r>
      <w:r w:rsidRPr="001F4617">
        <w:rPr>
          <w:rFonts w:cs="Arial"/>
          <w:b/>
        </w:rPr>
        <w:t xml:space="preserve"> cet effet</w:t>
      </w:r>
      <w:r w:rsidR="00C858E4" w:rsidRPr="001F4617">
        <w:rPr>
          <w:rFonts w:cs="Arial"/>
          <w:b/>
        </w:rPr>
        <w:t>,</w:t>
      </w:r>
      <w:r w:rsidRPr="001F4617">
        <w:rPr>
          <w:rFonts w:cs="Arial"/>
          <w:b/>
        </w:rPr>
        <w:t xml:space="preserve"> il doit cocher la case ci-dessous :</w:t>
      </w:r>
    </w:p>
    <w:p w14:paraId="6BB3DBE6" w14:textId="77777777" w:rsidR="006A021D" w:rsidRPr="009E79BF" w:rsidRDefault="006A021D" w:rsidP="006A021D">
      <w:pPr>
        <w:autoSpaceDE w:val="0"/>
        <w:autoSpaceDN w:val="0"/>
        <w:adjustRightInd w:val="0"/>
        <w:jc w:val="center"/>
        <w:rPr>
          <w:rFonts w:cs="Arial"/>
        </w:rPr>
      </w:pPr>
    </w:p>
    <w:p w14:paraId="6E07E796" w14:textId="77777777" w:rsidR="006A021D" w:rsidRPr="001F4617" w:rsidRDefault="006A021D" w:rsidP="006A021D">
      <w:pPr>
        <w:autoSpaceDE w:val="0"/>
        <w:autoSpaceDN w:val="0"/>
        <w:adjustRightInd w:val="0"/>
        <w:jc w:val="center"/>
        <w:rPr>
          <w:rFonts w:cs="Arial"/>
          <w:b/>
        </w:rPr>
      </w:pPr>
      <w:r w:rsidRPr="001F4617">
        <w:rPr>
          <w:rFonts w:cs="Arial"/>
          <w:b/>
        </w:rPr>
        <w:t> Je refuse le versement de l'avance</w:t>
      </w:r>
    </w:p>
    <w:p w14:paraId="404C4806" w14:textId="77777777" w:rsidR="00E85775" w:rsidRPr="00E85775" w:rsidRDefault="00E85775" w:rsidP="00C7548A"/>
    <w:p w14:paraId="4973E2A0" w14:textId="77777777" w:rsidR="00E85775" w:rsidRPr="00E85775" w:rsidRDefault="00E85775" w:rsidP="001F4617">
      <w:pPr>
        <w:pStyle w:val="Paragraphedeliste"/>
        <w:numPr>
          <w:ilvl w:val="0"/>
          <w:numId w:val="10"/>
        </w:numPr>
        <w:spacing w:line="240" w:lineRule="auto"/>
        <w:ind w:left="714" w:hanging="357"/>
      </w:pPr>
      <w:bookmarkStart w:id="195" w:name="_Toc455567677"/>
      <w:r w:rsidRPr="00E85775">
        <w:t>Sous-traitance</w:t>
      </w:r>
      <w:bookmarkEnd w:id="195"/>
      <w:r w:rsidRPr="00E85775">
        <w:t>.</w:t>
      </w:r>
    </w:p>
    <w:p w14:paraId="7DC9E2CC" w14:textId="77777777" w:rsidR="00E85775" w:rsidRPr="00E85775" w:rsidRDefault="00E85775" w:rsidP="00031399"/>
    <w:p w14:paraId="450EA1AC" w14:textId="2BB0018E" w:rsidR="00E85775" w:rsidRPr="00E85775" w:rsidRDefault="00E85775" w:rsidP="00C7548A">
      <w:r w:rsidRPr="00E85775">
        <w:t xml:space="preserve">En application des dispositions de l’article R. 2193-18 du code de la commande publique, lorsqu'une partie </w:t>
      </w:r>
      <w:r w:rsidR="0037147F">
        <w:t>de l’accord-cadre</w:t>
      </w:r>
      <w:r w:rsidRPr="00E85775">
        <w:t xml:space="preserve"> est sous-traitée, l'avance versée au titulaire est calculée sur la base du montant </w:t>
      </w:r>
      <w:r w:rsidR="0037147F">
        <w:t>de l’accord-cadre</w:t>
      </w:r>
      <w:r w:rsidRPr="00E85775">
        <w:t xml:space="preserve"> diminué le cas échéant du montant de prestations confiées aux sous-traitants et donnant lieu à paiement direct.</w:t>
      </w:r>
    </w:p>
    <w:p w14:paraId="5D5D1D2C" w14:textId="77777777" w:rsidR="00E85775" w:rsidRPr="00E85775" w:rsidRDefault="00E85775" w:rsidP="00C7548A"/>
    <w:p w14:paraId="58350B15" w14:textId="77777777" w:rsidR="00E85775" w:rsidRPr="00E85775" w:rsidRDefault="00E85775" w:rsidP="00C7548A">
      <w:r w:rsidRPr="00E85775">
        <w:t>Dès lors que le titulaire remplit les conditions pour bénéficier d'une avance, une avance est versée, sur leur demande, aux sous-traitants bénéficiaires du paiement direct.</w:t>
      </w:r>
    </w:p>
    <w:p w14:paraId="05F70644" w14:textId="77777777" w:rsidR="00E85775" w:rsidRPr="00E85775" w:rsidRDefault="00E85775" w:rsidP="00C7548A"/>
    <w:p w14:paraId="70B805D0" w14:textId="77777777" w:rsidR="00E85775" w:rsidRPr="00E85775" w:rsidRDefault="00E85775" w:rsidP="00C7548A">
      <w:pPr>
        <w:rPr>
          <w:strike/>
        </w:rPr>
      </w:pPr>
      <w:r w:rsidRPr="00E85775">
        <w:t xml:space="preserve">Pour le calcul du montant de cette avance, les limites fixées aux articles R. 2191-7 et R. 2191-8 du code de la commande publique, sont appréciées par référence au montant des prestations confiées au sous-traitant tel qu'il figure dans </w:t>
      </w:r>
      <w:r w:rsidR="0037147F">
        <w:t>l’accord-cadre</w:t>
      </w:r>
      <w:r w:rsidRPr="00E85775">
        <w:t xml:space="preserve"> ou dans l'acte spécial mentionné à l’article R. 2193-3 du code.</w:t>
      </w:r>
    </w:p>
    <w:p w14:paraId="5EC3F5B8" w14:textId="77777777" w:rsidR="00E85775" w:rsidRPr="00E85775" w:rsidRDefault="00E85775" w:rsidP="00C7548A"/>
    <w:p w14:paraId="1EB6891C" w14:textId="77777777" w:rsidR="00E85775" w:rsidRPr="00E85775" w:rsidRDefault="00E85775" w:rsidP="00C7548A">
      <w:r w:rsidRPr="00E85775">
        <w:t xml:space="preserve">Le droit du sous-traitant à une avance est ouvert dès la notification </w:t>
      </w:r>
      <w:r w:rsidR="0037147F">
        <w:t>de l’accord-cadre</w:t>
      </w:r>
      <w:r w:rsidRPr="00E85775">
        <w:t xml:space="preserve"> ou de l'acte spécial par </w:t>
      </w:r>
      <w:r w:rsidR="00A87FAB">
        <w:t>l’acheteur</w:t>
      </w:r>
      <w:r w:rsidRPr="00E85775">
        <w:t>.</w:t>
      </w:r>
    </w:p>
    <w:p w14:paraId="5BB6B4E9" w14:textId="77777777" w:rsidR="00E85775" w:rsidRPr="00E85775" w:rsidRDefault="00E85775" w:rsidP="00C7548A"/>
    <w:p w14:paraId="0B474243" w14:textId="77777777" w:rsidR="00E85775" w:rsidRPr="00E85775" w:rsidRDefault="00E85775" w:rsidP="00C7548A">
      <w:r w:rsidRPr="00E85775">
        <w:t>Le remboursement de cette avance s'impute sur les sommes dues au sous-traitant selon les mêmes modalités que celles prévues à l’article R. 2191-11 du code de la commande publique.</w:t>
      </w:r>
    </w:p>
    <w:p w14:paraId="47C5C23B" w14:textId="77777777" w:rsidR="00E85775" w:rsidRPr="00E85775" w:rsidRDefault="00E85775" w:rsidP="00C7548A"/>
    <w:p w14:paraId="08B92CA0" w14:textId="77777777" w:rsidR="00E85775" w:rsidRPr="00E85775" w:rsidRDefault="00E85775" w:rsidP="00C7548A">
      <w:r w:rsidRPr="00E85775">
        <w:t xml:space="preserve">Si le titulaire </w:t>
      </w:r>
      <w:r w:rsidR="0037147F">
        <w:t>de l’accord-cadre</w:t>
      </w:r>
      <w:r w:rsidRPr="00E85775">
        <w:t xml:space="preserve"> qui a perçu l'avance sous-traite une part </w:t>
      </w:r>
      <w:r w:rsidR="0037147F">
        <w:t>de l’accord-cadre</w:t>
      </w:r>
      <w:r w:rsidRPr="00E85775">
        <w:t xml:space="preserve"> postérieurement à sa notification, il rembourse l'avance correspondant au montant des prestations sous-traitées et donnant lieu à paiement direct, même dans le cas où le sous-traitant ne souhaite pas bénéficier de l'avance.</w:t>
      </w:r>
    </w:p>
    <w:p w14:paraId="42F1ABC6" w14:textId="77777777" w:rsidR="00E85775" w:rsidRPr="00E85775" w:rsidRDefault="00E85775" w:rsidP="00C7548A"/>
    <w:p w14:paraId="4C57A6DE" w14:textId="77777777" w:rsidR="00E85775" w:rsidRPr="00E85775" w:rsidRDefault="00E85775" w:rsidP="00C7548A">
      <w:r w:rsidRPr="00E85775">
        <w:t xml:space="preserve">Le remboursement par le titulaire s'impute sur les sommes qui lui sont dues par </w:t>
      </w:r>
      <w:r w:rsidR="00A87FAB">
        <w:t>l’acheteur</w:t>
      </w:r>
      <w:r w:rsidRPr="00E85775">
        <w:t xml:space="preserve"> dès la notification de l'acte spécial.</w:t>
      </w:r>
    </w:p>
    <w:p w14:paraId="59A9679E" w14:textId="77777777" w:rsidR="00E85775" w:rsidRPr="00E85775" w:rsidRDefault="00E85775" w:rsidP="00C7548A"/>
    <w:p w14:paraId="52F8F17D" w14:textId="77777777" w:rsidR="00E85775" w:rsidRPr="00E85775" w:rsidRDefault="00E85775">
      <w:pPr>
        <w:pStyle w:val="Titre6"/>
      </w:pPr>
      <w:bookmarkStart w:id="196" w:name="_Toc507666651"/>
      <w:bookmarkStart w:id="197" w:name="_Toc50109588"/>
      <w:r w:rsidRPr="00E85775">
        <w:lastRenderedPageBreak/>
        <w:t>11.1.2. Remboursement de l'avance.</w:t>
      </w:r>
      <w:bookmarkEnd w:id="196"/>
      <w:bookmarkEnd w:id="197"/>
    </w:p>
    <w:p w14:paraId="33552120" w14:textId="77777777" w:rsidR="00E85775" w:rsidRPr="00E85775" w:rsidRDefault="00E85775" w:rsidP="00E73B45">
      <w:pPr>
        <w:keepNext/>
      </w:pPr>
    </w:p>
    <w:p w14:paraId="63E4A4DC" w14:textId="177B5301" w:rsidR="00D06089" w:rsidRPr="00E85775" w:rsidRDefault="00D06089" w:rsidP="00E73B45">
      <w:pPr>
        <w:keepNext/>
      </w:pPr>
      <w:r w:rsidRPr="00E85775">
        <w:t xml:space="preserve">Le remboursement de l'avance </w:t>
      </w:r>
      <w:r w:rsidRPr="00D06089">
        <w:rPr>
          <w:color w:val="000000" w:themeColor="text1"/>
        </w:rPr>
        <w:t xml:space="preserve">s'impute sur les sommes dues au titulaire quand le montant des prestations exécutées par le titulaire atteint </w:t>
      </w:r>
      <w:r w:rsidR="00A00016">
        <w:rPr>
          <w:color w:val="000000" w:themeColor="text1"/>
        </w:rPr>
        <w:t>6</w:t>
      </w:r>
      <w:r w:rsidRPr="00D06089">
        <w:rPr>
          <w:color w:val="000000" w:themeColor="text1"/>
        </w:rPr>
        <w:t xml:space="preserve">5 % des </w:t>
      </w:r>
      <w:r w:rsidRPr="00E85775">
        <w:t>sommes dues au titulaire (acomptes ou règlements partiels définitifs).</w:t>
      </w:r>
    </w:p>
    <w:p w14:paraId="06BB80DA" w14:textId="77777777" w:rsidR="008A4445" w:rsidRDefault="008A4445" w:rsidP="00D06089"/>
    <w:p w14:paraId="55957CC3" w14:textId="57DE504D" w:rsidR="00E85775" w:rsidRPr="00E85775" w:rsidRDefault="00D06089" w:rsidP="00D06089">
      <w:r w:rsidRPr="002E651F">
        <w:t>Il doit être terminé lorsque le montant des prestations exécutées par le titulaire atteint 80 % du montant toutes taxes comprises des prestations qui lui sont confiées au titre du montant minimum dans le cas d'un accord-cadre à bons de commandes comportant un montant minimum</w:t>
      </w:r>
      <w:r w:rsidR="00E85775" w:rsidRPr="002E651F">
        <w:t>.</w:t>
      </w:r>
    </w:p>
    <w:p w14:paraId="62E033CF" w14:textId="77777777" w:rsidR="00E85775" w:rsidRPr="00E85775" w:rsidRDefault="00E85775" w:rsidP="00C7548A"/>
    <w:p w14:paraId="4E30666A" w14:textId="77777777" w:rsidR="00E85775" w:rsidRPr="00E85775" w:rsidRDefault="00E85775" w:rsidP="000F7994">
      <w:pPr>
        <w:pStyle w:val="Titre2"/>
      </w:pPr>
      <w:bookmarkStart w:id="198" w:name="_Toc507666652"/>
      <w:bookmarkStart w:id="199" w:name="_Toc50109589"/>
      <w:bookmarkStart w:id="200" w:name="_Toc207979770"/>
      <w:r w:rsidRPr="001E2CBA">
        <w:t>11.2. Modalités de paiement.</w:t>
      </w:r>
      <w:bookmarkEnd w:id="198"/>
      <w:bookmarkEnd w:id="199"/>
      <w:bookmarkEnd w:id="200"/>
    </w:p>
    <w:p w14:paraId="31D5BEA9" w14:textId="77777777" w:rsidR="00E85775" w:rsidRPr="00E85775" w:rsidRDefault="00E85775" w:rsidP="00C7548A"/>
    <w:p w14:paraId="70001E2D" w14:textId="1D98C21B" w:rsidR="00E85775" w:rsidRPr="00E85775" w:rsidRDefault="00E85775" w:rsidP="00C7548A">
      <w:pPr>
        <w:pStyle w:val="Titre6"/>
      </w:pPr>
      <w:bookmarkStart w:id="201" w:name="_Toc507666653"/>
      <w:bookmarkStart w:id="202" w:name="_Toc50109590"/>
      <w:r w:rsidRPr="00E85775">
        <w:t>11.2.1. Défi</w:t>
      </w:r>
      <w:r w:rsidR="00C54129">
        <w:t xml:space="preserve">nition des lots </w:t>
      </w:r>
      <w:r w:rsidRPr="00E85775">
        <w:t>de liquidation financière.</w:t>
      </w:r>
      <w:bookmarkEnd w:id="201"/>
      <w:bookmarkEnd w:id="202"/>
    </w:p>
    <w:p w14:paraId="631DAC3B" w14:textId="4382698A" w:rsidR="00195270" w:rsidRDefault="00195270" w:rsidP="00A45517"/>
    <w:p w14:paraId="734825C7" w14:textId="3B289232" w:rsidR="00C8479B" w:rsidRDefault="00C8479B" w:rsidP="00C8479B">
      <w:pPr>
        <w:autoSpaceDE w:val="0"/>
        <w:autoSpaceDN w:val="0"/>
        <w:adjustRightInd w:val="0"/>
        <w:rPr>
          <w:rFonts w:ascii="Helvetica" w:hAnsi="Helvetica" w:cs="Helvetica"/>
        </w:rPr>
      </w:pPr>
      <w:r w:rsidRPr="00FB10FC">
        <w:rPr>
          <w:rFonts w:ascii="Helvetica" w:hAnsi="Helvetica" w:cs="Helvetica"/>
        </w:rPr>
        <w:t xml:space="preserve">Chaque note </w:t>
      </w:r>
      <w:r>
        <w:rPr>
          <w:rFonts w:ascii="Helvetica" w:hAnsi="Helvetica" w:cs="Helvetica"/>
        </w:rPr>
        <w:t>de recherche</w:t>
      </w:r>
      <w:r w:rsidR="00F01016">
        <w:rPr>
          <w:rFonts w:ascii="Helvetica" w:hAnsi="Helvetica" w:cs="Helvetica"/>
        </w:rPr>
        <w:t xml:space="preserve"> </w:t>
      </w:r>
      <w:r w:rsidR="008003DF">
        <w:rPr>
          <w:rFonts w:ascii="Helvetica" w:hAnsi="Helvetica" w:cs="Helvetica"/>
        </w:rPr>
        <w:t xml:space="preserve">ainsi que </w:t>
      </w:r>
      <w:r w:rsidR="00F01016">
        <w:rPr>
          <w:rFonts w:ascii="Helvetica" w:hAnsi="Helvetica" w:cs="Helvetica"/>
        </w:rPr>
        <w:t>son résumé</w:t>
      </w:r>
      <w:r w:rsidR="00057CBA">
        <w:rPr>
          <w:rFonts w:ascii="Helvetica" w:hAnsi="Helvetica" w:cs="Helvetica"/>
        </w:rPr>
        <w:t xml:space="preserve"> </w:t>
      </w:r>
      <w:r w:rsidR="008003DF" w:rsidRPr="0079485D">
        <w:t>en langue française et traduit en langue anglaise</w:t>
      </w:r>
      <w:r w:rsidRPr="00FB10FC">
        <w:rPr>
          <w:rFonts w:ascii="Helvetica" w:hAnsi="Helvetica" w:cs="Helvetica"/>
        </w:rPr>
        <w:t>, due</w:t>
      </w:r>
      <w:r w:rsidR="008003DF">
        <w:rPr>
          <w:rFonts w:ascii="Helvetica" w:hAnsi="Helvetica" w:cs="Helvetica"/>
        </w:rPr>
        <w:t>s</w:t>
      </w:r>
      <w:r w:rsidRPr="00FB10FC">
        <w:rPr>
          <w:rFonts w:ascii="Helvetica" w:hAnsi="Helvetica" w:cs="Helvetica"/>
        </w:rPr>
        <w:t xml:space="preserve"> au titre du poste forfaitaire (PF1), constitue </w:t>
      </w:r>
      <w:r w:rsidR="00CA7F61" w:rsidRPr="00FB10FC">
        <w:rPr>
          <w:rFonts w:ascii="Helvetica" w:hAnsi="Helvetica" w:cs="Helvetica"/>
        </w:rPr>
        <w:t>un règlement</w:t>
      </w:r>
      <w:r w:rsidRPr="00FB10FC">
        <w:rPr>
          <w:rFonts w:ascii="Helvetica" w:hAnsi="Helvetica" w:cs="Helvetica"/>
        </w:rPr>
        <w:t xml:space="preserve"> partiel définitif égal à un quart (1/4) du montant TTC du</w:t>
      </w:r>
      <w:r>
        <w:rPr>
          <w:rFonts w:ascii="Helvetica" w:hAnsi="Helvetica" w:cs="Helvetica"/>
        </w:rPr>
        <w:t>dit</w:t>
      </w:r>
      <w:r w:rsidRPr="00FB10FC">
        <w:rPr>
          <w:rFonts w:ascii="Helvetica" w:hAnsi="Helvetica" w:cs="Helvetica"/>
        </w:rPr>
        <w:t xml:space="preserve"> poste forfaitaire 1.</w:t>
      </w:r>
    </w:p>
    <w:p w14:paraId="046917B3" w14:textId="77777777" w:rsidR="00C8479B" w:rsidRDefault="00C8479B" w:rsidP="00A45517"/>
    <w:p w14:paraId="2817A327" w14:textId="004D9E16" w:rsidR="00195270" w:rsidRDefault="00C8479B" w:rsidP="00A45517">
      <w:r>
        <w:t>Le poste forfaitaire 2</w:t>
      </w:r>
      <w:r w:rsidR="000762CE">
        <w:t xml:space="preserve"> constitue </w:t>
      </w:r>
      <w:r w:rsidR="002E19E4">
        <w:t>un lot de liquidation</w:t>
      </w:r>
      <w:r w:rsidR="0057045A">
        <w:t xml:space="preserve"> financière</w:t>
      </w:r>
      <w:r w:rsidR="002E19E4">
        <w:t>.</w:t>
      </w:r>
    </w:p>
    <w:p w14:paraId="6AFB86C1" w14:textId="77777777" w:rsidR="002E19E4" w:rsidRDefault="002E19E4" w:rsidP="00A45517"/>
    <w:p w14:paraId="725549E2" w14:textId="3DBC7983" w:rsidR="006A021D" w:rsidRPr="009E79BF" w:rsidRDefault="00A45517" w:rsidP="00A45517">
      <w:pPr>
        <w:rPr>
          <w:rFonts w:cs="Arial"/>
        </w:rPr>
      </w:pPr>
      <w:r w:rsidRPr="006D158B">
        <w:t xml:space="preserve">Chaque </w:t>
      </w:r>
      <w:r w:rsidR="00455DFE">
        <w:t xml:space="preserve">poste d’un </w:t>
      </w:r>
      <w:r w:rsidRPr="006D158B">
        <w:t xml:space="preserve">bon </w:t>
      </w:r>
      <w:r w:rsidR="000762CE">
        <w:t>de commande</w:t>
      </w:r>
      <w:r w:rsidR="00586D25">
        <w:t>,</w:t>
      </w:r>
      <w:r w:rsidR="000762CE">
        <w:t xml:space="preserve"> émis au titre </w:t>
      </w:r>
      <w:r w:rsidR="00455DFE">
        <w:t xml:space="preserve">du poste </w:t>
      </w:r>
      <w:r w:rsidR="00243F79">
        <w:t>à bon de commande</w:t>
      </w:r>
      <w:r w:rsidR="00455DFE">
        <w:t xml:space="preserve"> </w:t>
      </w:r>
      <w:r w:rsidR="000762CE">
        <w:t>du présent accord-cadre</w:t>
      </w:r>
      <w:r w:rsidR="00586D25">
        <w:t>,</w:t>
      </w:r>
      <w:r w:rsidR="000762CE">
        <w:t xml:space="preserve"> </w:t>
      </w:r>
      <w:r w:rsidRPr="006D158B">
        <w:t>c</w:t>
      </w:r>
      <w:r w:rsidR="000762CE">
        <w:t xml:space="preserve">onstitue un lot </w:t>
      </w:r>
      <w:r w:rsidRPr="006D158B">
        <w:t>de liquidation financière</w:t>
      </w:r>
      <w:r w:rsidR="006A021D" w:rsidRPr="006D158B">
        <w:rPr>
          <w:rFonts w:cs="Arial"/>
        </w:rPr>
        <w:t>.</w:t>
      </w:r>
    </w:p>
    <w:p w14:paraId="4D00530B" w14:textId="77777777" w:rsidR="00E85775" w:rsidRPr="00E85775" w:rsidRDefault="00E85775" w:rsidP="00C7548A"/>
    <w:p w14:paraId="207EB539" w14:textId="726EC33C" w:rsidR="00E85775" w:rsidRPr="00E85775" w:rsidRDefault="00E85775" w:rsidP="00C7548A">
      <w:pPr>
        <w:pStyle w:val="Titre6"/>
      </w:pPr>
      <w:bookmarkStart w:id="203" w:name="_Toc507666654"/>
      <w:bookmarkStart w:id="204" w:name="_Toc50109591"/>
      <w:r w:rsidRPr="00E85775">
        <w:t>11.2.2. Acomptes</w:t>
      </w:r>
      <w:r w:rsidR="006E3238">
        <w:rPr>
          <w:lang w:val="fr-FR"/>
        </w:rPr>
        <w:t xml:space="preserve"> et soldes</w:t>
      </w:r>
      <w:r w:rsidRPr="00E85775">
        <w:t>.</w:t>
      </w:r>
      <w:bookmarkEnd w:id="203"/>
      <w:bookmarkEnd w:id="204"/>
    </w:p>
    <w:p w14:paraId="37FB1896" w14:textId="77777777" w:rsidR="00E85775" w:rsidRPr="00E85775" w:rsidRDefault="00E85775" w:rsidP="00C7548A"/>
    <w:p w14:paraId="703C61CA" w14:textId="7F21BB01" w:rsidR="00174479" w:rsidRPr="00E85775" w:rsidRDefault="00174479" w:rsidP="00174479">
      <w:r>
        <w:t xml:space="preserve">Toutes les prestations, </w:t>
      </w:r>
      <w:r w:rsidRPr="00E85775">
        <w:t xml:space="preserve">qui ont donné lieu à un commencement d'exécution </w:t>
      </w:r>
      <w:r w:rsidR="0057045A">
        <w:t>de l’accord-cadre</w:t>
      </w:r>
      <w:r>
        <w:t xml:space="preserve"> </w:t>
      </w:r>
      <w:r w:rsidR="006E3238">
        <w:t xml:space="preserve">(ou du bon de commande) </w:t>
      </w:r>
      <w:r w:rsidRPr="00E85775">
        <w:t xml:space="preserve">et </w:t>
      </w:r>
      <w:r>
        <w:t xml:space="preserve">qui </w:t>
      </w:r>
      <w:r w:rsidRPr="00E85775">
        <w:t>ne font pas l'objet d'un règlement partiel définitif</w:t>
      </w:r>
      <w:r>
        <w:t>,</w:t>
      </w:r>
      <w:r w:rsidRPr="00E85775">
        <w:t xml:space="preserve"> ouvrent droit à acomptes.</w:t>
      </w:r>
    </w:p>
    <w:p w14:paraId="5780867B" w14:textId="77777777" w:rsidR="00174479" w:rsidRPr="00E85775" w:rsidRDefault="00174479" w:rsidP="00174479">
      <w:pPr>
        <w:pStyle w:val="En-tte"/>
        <w:tabs>
          <w:tab w:val="clear" w:pos="4536"/>
          <w:tab w:val="clear" w:pos="9072"/>
        </w:tabs>
      </w:pPr>
    </w:p>
    <w:p w14:paraId="78B3FF83" w14:textId="77777777" w:rsidR="00174479" w:rsidRPr="00E85775" w:rsidRDefault="00174479" w:rsidP="00174479">
      <w:r w:rsidRPr="00E85775">
        <w:t>Le montant d'un acompte ne peut excéder la valeur des prestations auxquelles il se rapporte.</w:t>
      </w:r>
    </w:p>
    <w:p w14:paraId="2C5E34D5" w14:textId="77777777" w:rsidR="00174479" w:rsidRPr="00E85775" w:rsidRDefault="00174479" w:rsidP="00174479"/>
    <w:p w14:paraId="351DAD1D" w14:textId="77777777" w:rsidR="00174479" w:rsidRPr="00241429" w:rsidRDefault="00174479" w:rsidP="00174479">
      <w:pPr>
        <w:rPr>
          <w:rStyle w:val="Emphaseintense"/>
          <w:i w:val="0"/>
          <w:iCs w:val="0"/>
          <w:color w:val="auto"/>
        </w:rPr>
      </w:pPr>
      <w:r w:rsidRPr="00E85775">
        <w:t xml:space="preserve">Sur sa demande écrite, et après attestation par la personne chargée de constater l'avancement des prestations, le titulaire a le droit dans les conditions prévues aux articles R. 2191-21 et R. 2191-22 du code de la commande publique </w:t>
      </w:r>
      <w:r>
        <w:t>ainsi que</w:t>
      </w:r>
      <w:r w:rsidRPr="00E85775">
        <w:t xml:space="preserve"> </w:t>
      </w:r>
      <w:r>
        <w:t xml:space="preserve">de l’article </w:t>
      </w:r>
      <w:r w:rsidRPr="00241429">
        <w:t>11.2 du CCAG/</w:t>
      </w:r>
      <w:r>
        <w:t>PI</w:t>
      </w:r>
      <w:r w:rsidRPr="00241429">
        <w:t xml:space="preserve"> au versement d'acomptes.</w:t>
      </w:r>
    </w:p>
    <w:p w14:paraId="4E87144A" w14:textId="77777777" w:rsidR="00174479" w:rsidRPr="008E3EB8" w:rsidRDefault="00174479" w:rsidP="00174479">
      <w:pPr>
        <w:rPr>
          <w:rStyle w:val="Emphaseintense"/>
        </w:rPr>
      </w:pPr>
    </w:p>
    <w:p w14:paraId="2F224429" w14:textId="72B8BE64" w:rsidR="00174479" w:rsidRPr="00E85775" w:rsidRDefault="00174479" w:rsidP="00174479">
      <w:r w:rsidRPr="00E85775">
        <w:t xml:space="preserve">Si </w:t>
      </w:r>
      <w:r>
        <w:t>le service en charge du suivi et de l’exécution d</w:t>
      </w:r>
      <w:r w:rsidR="0057045A">
        <w:t>e l’accord-cadre,</w:t>
      </w:r>
      <w:r w:rsidRPr="00E85775">
        <w:t xml:space="preserve"> </w:t>
      </w:r>
      <w:r>
        <w:t>mentionné à l’article 5.1.2</w:t>
      </w:r>
      <w:r w:rsidR="0057045A">
        <w:t xml:space="preserve"> du présent document,</w:t>
      </w:r>
      <w:r>
        <w:t xml:space="preserve"> </w:t>
      </w:r>
      <w:r w:rsidRPr="00E85775">
        <w:t xml:space="preserve">observe que l'avancement réel des prestations est en retard par rapport à </w:t>
      </w:r>
      <w:r>
        <w:t xml:space="preserve">leur avancement contractuel, l’acheteur </w:t>
      </w:r>
      <w:r w:rsidRPr="00E85775">
        <w:t>peut réduire le montant de l'acompte prévu contractuellement à la valeur de l'avancement réel des prestations. En cas d'absence totale d'avan</w:t>
      </w:r>
      <w:r>
        <w:t xml:space="preserve">cement réel des prestations, l’acheteur </w:t>
      </w:r>
      <w:r w:rsidRPr="00E85775">
        <w:t>peut suspendre le droit à acompte jusqu'à nouvel avancement des prestations correspondant à l'acompte suspendu.</w:t>
      </w:r>
    </w:p>
    <w:p w14:paraId="509D943D" w14:textId="77777777" w:rsidR="00174479" w:rsidRPr="00E85775" w:rsidRDefault="00174479" w:rsidP="00174479"/>
    <w:p w14:paraId="484CBC9B" w14:textId="77777777" w:rsidR="00174479" w:rsidRPr="00E85775" w:rsidRDefault="00174479" w:rsidP="00174479">
      <w:r w:rsidRPr="00E85775">
        <w:t xml:space="preserve">Les acomptes doivent faire l'objet d'une demande de paiement dans les conditions prévues à l'article </w:t>
      </w:r>
      <w:r>
        <w:t>11.3</w:t>
      </w:r>
      <w:r w:rsidRPr="00E85775">
        <w:t xml:space="preserve"> du présent document.</w:t>
      </w:r>
    </w:p>
    <w:p w14:paraId="42EC54FC" w14:textId="77777777" w:rsidR="00174479" w:rsidRPr="00E85775" w:rsidRDefault="00174479" w:rsidP="00174479"/>
    <w:p w14:paraId="7F8516BE" w14:textId="77777777" w:rsidR="00174479" w:rsidRPr="00693D15" w:rsidRDefault="00174479" w:rsidP="00174479">
      <w:pPr>
        <w:rPr>
          <w:u w:val="single"/>
        </w:rPr>
      </w:pPr>
      <w:r>
        <w:rPr>
          <w:u w:val="single"/>
        </w:rPr>
        <w:t>Périodicité</w:t>
      </w:r>
    </w:p>
    <w:p w14:paraId="2FC67701" w14:textId="77777777" w:rsidR="00174479" w:rsidRPr="00E85775" w:rsidRDefault="00174479" w:rsidP="00174479"/>
    <w:p w14:paraId="6BD01E21" w14:textId="77777777" w:rsidR="00174479" w:rsidRPr="00E85775" w:rsidRDefault="00174479" w:rsidP="00174479">
      <w:r w:rsidRPr="00E85775">
        <w:t>La périodicité du versement des acomptes est fixée au maximum à trois mois.</w:t>
      </w:r>
    </w:p>
    <w:p w14:paraId="2A20BDBE" w14:textId="77777777" w:rsidR="00174479" w:rsidRPr="00E85775" w:rsidRDefault="00174479" w:rsidP="00174479">
      <w:pPr>
        <w:pStyle w:val="En-tte"/>
        <w:tabs>
          <w:tab w:val="clear" w:pos="4536"/>
          <w:tab w:val="clear" w:pos="9072"/>
        </w:tabs>
      </w:pPr>
    </w:p>
    <w:p w14:paraId="451BEF46" w14:textId="5572F5FA" w:rsidR="00174479" w:rsidRPr="00FF14F5" w:rsidRDefault="00174479" w:rsidP="00174479">
      <w:r w:rsidRPr="00E85775">
        <w:t xml:space="preserve">En application des dispositions de l’article R. 2191-22 du code de la commande publique, cette durée </w:t>
      </w:r>
      <w:r w:rsidRPr="00FF14F5">
        <w:t>est</w:t>
      </w:r>
      <w:r w:rsidRPr="00E85775">
        <w:rPr>
          <w:b/>
        </w:rPr>
        <w:t xml:space="preserve"> </w:t>
      </w:r>
      <w:r w:rsidRPr="00E85775">
        <w:t>rapportée à un mois</w:t>
      </w:r>
      <w:r w:rsidRPr="00E85775">
        <w:rPr>
          <w:b/>
        </w:rPr>
        <w:t xml:space="preserve"> </w:t>
      </w:r>
      <w:r>
        <w:t>lorsque le titulaire est</w:t>
      </w:r>
      <w:r w:rsidR="0057045A">
        <w:t xml:space="preserve"> </w:t>
      </w:r>
      <w:r w:rsidRPr="00E85775">
        <w:t>u</w:t>
      </w:r>
      <w:r>
        <w:t>ne petite ou moyenne entreprise.</w:t>
      </w:r>
    </w:p>
    <w:p w14:paraId="4E9FDB10" w14:textId="14433FCE" w:rsidR="00ED2C67" w:rsidRPr="00E85775" w:rsidRDefault="00ED2C67" w:rsidP="00C7548A"/>
    <w:p w14:paraId="3AC50CA6" w14:textId="06B59ACF" w:rsidR="00E85775" w:rsidRPr="00C06443" w:rsidRDefault="00E85775" w:rsidP="00C7548A">
      <w:pPr>
        <w:pStyle w:val="Titre6"/>
        <w:rPr>
          <w:lang w:val="fr-FR"/>
        </w:rPr>
      </w:pPr>
      <w:bookmarkStart w:id="205" w:name="_Toc507666655"/>
      <w:bookmarkStart w:id="206" w:name="_Toc50109592"/>
      <w:r w:rsidRPr="00E85775">
        <w:t>11.2.3. Paiement du solde</w:t>
      </w:r>
      <w:bookmarkEnd w:id="205"/>
      <w:bookmarkEnd w:id="206"/>
      <w:r w:rsidR="00C06443">
        <w:t xml:space="preserve"> et règlement</w:t>
      </w:r>
      <w:r w:rsidR="00C06443">
        <w:rPr>
          <w:lang w:val="fr-FR"/>
        </w:rPr>
        <w:t>s</w:t>
      </w:r>
      <w:r w:rsidR="00C06443">
        <w:t xml:space="preserve"> </w:t>
      </w:r>
      <w:r w:rsidR="00C06443">
        <w:rPr>
          <w:lang w:val="fr-FR"/>
        </w:rPr>
        <w:t>partiels définitifs</w:t>
      </w:r>
    </w:p>
    <w:p w14:paraId="348316BF" w14:textId="77777777" w:rsidR="00E85775" w:rsidRPr="00E85775" w:rsidRDefault="00E85775" w:rsidP="00C7548A"/>
    <w:p w14:paraId="240C5A15" w14:textId="6C3AB189" w:rsidR="00AA77EC" w:rsidRPr="009E79BF" w:rsidRDefault="00AA77EC" w:rsidP="00AA77EC">
      <w:pPr>
        <w:rPr>
          <w:rFonts w:cs="Arial"/>
        </w:rPr>
      </w:pPr>
      <w:bookmarkStart w:id="207" w:name="_Toc116463820"/>
      <w:bookmarkStart w:id="208" w:name="_Toc228779039"/>
      <w:r w:rsidRPr="009E79BF">
        <w:rPr>
          <w:rFonts w:cs="Arial"/>
        </w:rPr>
        <w:t>Le solde d</w:t>
      </w:r>
      <w:r w:rsidR="001632BA">
        <w:rPr>
          <w:rFonts w:cs="Arial"/>
        </w:rPr>
        <w:t xml:space="preserve">e chaque </w:t>
      </w:r>
      <w:r w:rsidRPr="009E79BF">
        <w:rPr>
          <w:rFonts w:cs="Arial"/>
        </w:rPr>
        <w:t xml:space="preserve">lot de liquidation financière </w:t>
      </w:r>
      <w:r w:rsidRPr="005D4785">
        <w:rPr>
          <w:rFonts w:cs="Arial"/>
        </w:rPr>
        <w:t>est payé</w:t>
      </w:r>
      <w:r w:rsidRPr="009E79BF">
        <w:rPr>
          <w:rFonts w:cs="Arial"/>
        </w:rPr>
        <w:t xml:space="preserve"> après réception de l'ensemble des prestations correspondantes.</w:t>
      </w:r>
    </w:p>
    <w:p w14:paraId="08E8900E" w14:textId="77777777" w:rsidR="00E85775" w:rsidRPr="00E85775" w:rsidRDefault="00E85775" w:rsidP="00C7548A"/>
    <w:p w14:paraId="5CEB13F2" w14:textId="77777777" w:rsidR="00E85775" w:rsidRPr="00E85775" w:rsidRDefault="00E85775" w:rsidP="000F7994">
      <w:pPr>
        <w:pStyle w:val="Titre2"/>
      </w:pPr>
      <w:bookmarkStart w:id="209" w:name="_Toc507666656"/>
      <w:bookmarkStart w:id="210" w:name="_Toc50109593"/>
      <w:bookmarkStart w:id="211" w:name="_Toc207979771"/>
      <w:r w:rsidRPr="00E85775">
        <w:t>11.3. Modalités d'envoi – contenu des demandes de paiement.</w:t>
      </w:r>
      <w:bookmarkEnd w:id="209"/>
      <w:bookmarkEnd w:id="210"/>
      <w:bookmarkEnd w:id="211"/>
      <w:r w:rsidRPr="00E85775">
        <w:t xml:space="preserve"> </w:t>
      </w:r>
    </w:p>
    <w:p w14:paraId="416900DB" w14:textId="77777777" w:rsidR="00E85775" w:rsidRPr="00E85775" w:rsidRDefault="00E85775" w:rsidP="00C7548A"/>
    <w:p w14:paraId="7452B882" w14:textId="77777777" w:rsidR="00E85775" w:rsidRPr="00E85775" w:rsidRDefault="00E85775" w:rsidP="00C7548A">
      <w:pPr>
        <w:pStyle w:val="Titre6"/>
      </w:pPr>
      <w:r w:rsidRPr="00E85775">
        <w:t>11.3.1 Modalités concernant le titulaire</w:t>
      </w:r>
    </w:p>
    <w:p w14:paraId="247D4319" w14:textId="77777777" w:rsidR="00E85775" w:rsidRPr="00E85775" w:rsidRDefault="00E85775" w:rsidP="00C7548A"/>
    <w:p w14:paraId="7483D0E6" w14:textId="77777777" w:rsidR="001632BA" w:rsidRDefault="001632BA" w:rsidP="00C7548A">
      <w:r>
        <w:t xml:space="preserve">Conformément à l’article 11.5.1 </w:t>
      </w:r>
      <w:r w:rsidRPr="001632BA">
        <w:rPr>
          <w:color w:val="000000" w:themeColor="text1"/>
        </w:rPr>
        <w:t xml:space="preserve">du CCAG/PI, la demande </w:t>
      </w:r>
      <w:r w:rsidRPr="00E85775">
        <w:t xml:space="preserve">de paiement intervient après la décision </w:t>
      </w:r>
      <w:r>
        <w:t>d’admission.</w:t>
      </w:r>
    </w:p>
    <w:p w14:paraId="7FF1F7F2" w14:textId="77777777" w:rsidR="001632BA" w:rsidRDefault="001632BA" w:rsidP="00C7548A"/>
    <w:p w14:paraId="00C1EA71" w14:textId="77777777" w:rsidR="00686CBE" w:rsidRPr="00686CBE" w:rsidRDefault="00686CBE" w:rsidP="00C7548A">
      <w:r w:rsidRPr="00686CBE">
        <w:t>Conformément à l’article L.2192-1 du code de la commande publique</w:t>
      </w:r>
      <w:r w:rsidR="00B202E1" w:rsidRPr="00B202E1">
        <w:t xml:space="preserve"> </w:t>
      </w:r>
      <w:r w:rsidR="00B202E1">
        <w:t xml:space="preserve">et à l’article 11.8 </w:t>
      </w:r>
      <w:r w:rsidR="00B202E1" w:rsidRPr="00B202E1">
        <w:rPr>
          <w:color w:val="000000" w:themeColor="text1"/>
        </w:rPr>
        <w:t>du CCAG/PI</w:t>
      </w:r>
      <w:r w:rsidRPr="00B202E1">
        <w:rPr>
          <w:color w:val="000000" w:themeColor="text1"/>
        </w:rPr>
        <w:t xml:space="preserve">, les </w:t>
      </w:r>
      <w:r w:rsidRPr="00686CBE">
        <w:t>titulaires de marchés conclus avec l’Etat ainsi que leurs sous-traitants admis au paiement direct, transmettent leurs factures sous forme électronique. Cette obligation s’impose pour toutes les catégories d’entreprises.</w:t>
      </w:r>
    </w:p>
    <w:p w14:paraId="2A4B9757" w14:textId="77777777" w:rsidR="00686CBE" w:rsidRPr="00686CBE" w:rsidRDefault="00686CBE" w:rsidP="00C7548A"/>
    <w:p w14:paraId="30F9B77B" w14:textId="77777777" w:rsidR="00686CBE" w:rsidRPr="00686CBE" w:rsidRDefault="00686CBE" w:rsidP="00C7548A">
      <w:r w:rsidRPr="00686CBE">
        <w:lastRenderedPageBreak/>
        <w:t>Les factures papier seront retournées aux fournisseurs.</w:t>
      </w:r>
    </w:p>
    <w:p w14:paraId="7700A49D" w14:textId="77777777" w:rsidR="00686CBE" w:rsidRPr="00686CBE" w:rsidRDefault="00686CBE" w:rsidP="00C7548A"/>
    <w:p w14:paraId="6EB802B2" w14:textId="77777777" w:rsidR="00686CBE" w:rsidRPr="00686CBE" w:rsidRDefault="00686CBE" w:rsidP="00C7548A">
      <w:r w:rsidRPr="00686CBE">
        <w:t>Conformément aux articles L.2192-5 et R.2192-3 du code de la commande publique, la transmission des factures sous forme dématérialisée s’effectue au moyen d’un</w:t>
      </w:r>
      <w:r w:rsidR="00EF54B8">
        <w:t>e solution mutualisée dénommée « </w:t>
      </w:r>
      <w:r w:rsidRPr="00686CBE">
        <w:t>Chorus Pro</w:t>
      </w:r>
      <w:r w:rsidR="00EF54B8">
        <w:t> »</w:t>
      </w:r>
      <w:r w:rsidRPr="00686CBE">
        <w:t>.</w:t>
      </w:r>
    </w:p>
    <w:p w14:paraId="244C5F3A" w14:textId="77777777" w:rsidR="00E85775" w:rsidRPr="00E85775" w:rsidRDefault="00E85775" w:rsidP="00C7548A"/>
    <w:p w14:paraId="20EDF197" w14:textId="77777777" w:rsidR="00E85775" w:rsidRPr="00E85775" w:rsidRDefault="00E85775" w:rsidP="00C7548A">
      <w:r w:rsidRPr="00E85775">
        <w:t>Les modes d’émission et de réception des factures sous « Chorus Pro » sont de trois ordres :</w:t>
      </w:r>
    </w:p>
    <w:p w14:paraId="6359E633" w14:textId="77777777" w:rsidR="00E85775" w:rsidRPr="00E85775" w:rsidRDefault="00E85775" w:rsidP="00C7548A"/>
    <w:p w14:paraId="0AE12326" w14:textId="77777777" w:rsidR="00E85775" w:rsidRPr="00E85775" w:rsidRDefault="00E85775" w:rsidP="00C7548A">
      <w:r w:rsidRPr="00E85775">
        <w:t xml:space="preserve">1° Un mode portail : Ce portail est accessible à l'adresse internet suivante : https://chorus-pro.gouv.fr/. Pour cette solution il est nécessaire, préalablement à la saisie des factures, de s'être déclaré auprès de l'AIFE. Les modalités sont indiquées sur le portail à l'adresse précitée. Pour déposer sa facture, le fournisseur devra disposer du numéro d’engagement juridique </w:t>
      </w:r>
      <w:r w:rsidR="0037147F">
        <w:t>de l’accord-cadre</w:t>
      </w:r>
      <w:r w:rsidRPr="00E85775">
        <w:t xml:space="preserve"> ou de la commande ainsi que du code service exécutant.</w:t>
      </w:r>
    </w:p>
    <w:p w14:paraId="7A0E1C81" w14:textId="77777777" w:rsidR="00E85775" w:rsidRPr="00E85775" w:rsidRDefault="00E85775" w:rsidP="00C7548A"/>
    <w:p w14:paraId="0A686772" w14:textId="59F0AB7E" w:rsidR="00E85775" w:rsidRPr="00E85775" w:rsidRDefault="00E85775" w:rsidP="00C7548A">
      <w:r w:rsidRPr="00E85775">
        <w:t>2° Un mode flux (EDI) correspondant à une transmission automatisée de manière univoque entre le système d'information du fournisseur ou de son prestataire et l'application informatique Chorus. La transmission de flux s'effectue selon l'un des protocoles suivants</w:t>
      </w:r>
      <w:r w:rsidR="00083951">
        <w:t xml:space="preserve"> </w:t>
      </w:r>
      <w:r w:rsidRPr="00E85775">
        <w:t xml:space="preserve">: SFTP, PES-IT et AS/2, avec chiffrement TLS. </w:t>
      </w:r>
    </w:p>
    <w:p w14:paraId="62552726" w14:textId="77777777" w:rsidR="00E85775" w:rsidRPr="00E85775" w:rsidRDefault="00E85775" w:rsidP="00C7548A"/>
    <w:p w14:paraId="77CBD97B" w14:textId="77777777" w:rsidR="00E85775" w:rsidRPr="00E85775" w:rsidRDefault="00E85775" w:rsidP="00C7548A">
      <w:r w:rsidRPr="00E85775">
        <w:t>3° Un mode service (API), nécessitant l’implémentation dans le système d’information de l’entité publique d’un appel aux services mis à disposition par la solution Chorus Pro.</w:t>
      </w:r>
    </w:p>
    <w:p w14:paraId="62634D7A" w14:textId="77777777" w:rsidR="00E85775" w:rsidRPr="00E85775" w:rsidRDefault="00E85775" w:rsidP="00C7548A"/>
    <w:p w14:paraId="16A01CA9" w14:textId="77777777" w:rsidR="00E85775" w:rsidRPr="00E85775" w:rsidRDefault="00E85775" w:rsidP="00C7548A">
      <w:r w:rsidRPr="00E85775">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177842FC" w14:textId="77777777" w:rsidR="00E85775" w:rsidRPr="00E85775" w:rsidRDefault="00E85775" w:rsidP="00C7548A"/>
    <w:p w14:paraId="7BAE6AE0" w14:textId="77777777" w:rsidR="00B725A1" w:rsidRDefault="00B725A1" w:rsidP="00B725A1">
      <w:r>
        <w:t>Chaque facture doit impérativement comprendre :</w:t>
      </w:r>
    </w:p>
    <w:p w14:paraId="6D470F74" w14:textId="77777777" w:rsidR="00B725A1" w:rsidRDefault="00B725A1" w:rsidP="00E73B45">
      <w:pPr>
        <w:pStyle w:val="Paragraphedeliste"/>
        <w:numPr>
          <w:ilvl w:val="0"/>
          <w:numId w:val="12"/>
        </w:numPr>
        <w:spacing w:line="240" w:lineRule="auto"/>
        <w:contextualSpacing w:val="0"/>
      </w:pPr>
      <w:proofErr w:type="gramStart"/>
      <w:r>
        <w:t>les</w:t>
      </w:r>
      <w:proofErr w:type="gramEnd"/>
      <w:r>
        <w:t xml:space="preserve"> mentions obligatoires listées à l’article D.2192-2 du code de la commande publique :</w:t>
      </w:r>
    </w:p>
    <w:p w14:paraId="5A28CD8D" w14:textId="77777777" w:rsidR="00B725A1" w:rsidRDefault="00B725A1" w:rsidP="00E73B45">
      <w:pPr>
        <w:pStyle w:val="Paragraphedeliste"/>
        <w:numPr>
          <w:ilvl w:val="1"/>
          <w:numId w:val="12"/>
        </w:numPr>
        <w:spacing w:line="240" w:lineRule="auto"/>
        <w:ind w:left="1434" w:hanging="357"/>
        <w:contextualSpacing w:val="0"/>
      </w:pPr>
      <w:proofErr w:type="gramStart"/>
      <w:r>
        <w:t>la</w:t>
      </w:r>
      <w:proofErr w:type="gramEnd"/>
      <w:r>
        <w:t xml:space="preserve"> date d'émission de la facture ;</w:t>
      </w:r>
    </w:p>
    <w:p w14:paraId="6A62702A" w14:textId="77777777" w:rsidR="00B725A1" w:rsidRDefault="00B725A1" w:rsidP="00E73B45">
      <w:pPr>
        <w:pStyle w:val="Paragraphedeliste"/>
        <w:numPr>
          <w:ilvl w:val="1"/>
          <w:numId w:val="12"/>
        </w:numPr>
        <w:spacing w:line="240" w:lineRule="auto"/>
        <w:ind w:left="1434" w:hanging="357"/>
        <w:contextualSpacing w:val="0"/>
      </w:pPr>
      <w:proofErr w:type="gramStart"/>
      <w:r>
        <w:t>la</w:t>
      </w:r>
      <w:proofErr w:type="gramEnd"/>
      <w:r>
        <w:t xml:space="preserve"> désignation de l'émetteur et du destinataire de la facture ;</w:t>
      </w:r>
    </w:p>
    <w:p w14:paraId="5D75E235" w14:textId="77777777" w:rsidR="00B725A1" w:rsidRDefault="00B725A1" w:rsidP="00E73B45">
      <w:pPr>
        <w:pStyle w:val="Paragraphedeliste"/>
        <w:numPr>
          <w:ilvl w:val="1"/>
          <w:numId w:val="12"/>
        </w:numPr>
        <w:spacing w:line="240" w:lineRule="auto"/>
        <w:ind w:left="1434" w:hanging="357"/>
        <w:contextualSpacing w:val="0"/>
      </w:pPr>
      <w:proofErr w:type="gramStart"/>
      <w:r>
        <w:t>le</w:t>
      </w:r>
      <w:proofErr w:type="gramEnd"/>
      <w:r>
        <w:t xml:space="preserve"> numéro unique basé sur une séquence chronologique et continue établie par l'émetteur de la facture, la numérotation pouvant être établie dans ces conditions sur une ou plusieurs séries ;</w:t>
      </w:r>
    </w:p>
    <w:p w14:paraId="0E73FB20" w14:textId="77777777" w:rsidR="00B725A1" w:rsidRDefault="00B725A1" w:rsidP="00E73B45">
      <w:pPr>
        <w:pStyle w:val="Paragraphedeliste"/>
        <w:numPr>
          <w:ilvl w:val="1"/>
          <w:numId w:val="12"/>
        </w:numPr>
        <w:spacing w:line="240" w:lineRule="auto"/>
        <w:ind w:left="1434" w:hanging="357"/>
        <w:contextualSpacing w:val="0"/>
      </w:pPr>
      <w:proofErr w:type="gramStart"/>
      <w:r>
        <w:t>la</w:t>
      </w:r>
      <w:proofErr w:type="gramEnd"/>
      <w:r>
        <w:t xml:space="preserve"> date de livraison des fournitures ou d'exécution des services ou des travaux ;</w:t>
      </w:r>
    </w:p>
    <w:p w14:paraId="1275B55F" w14:textId="77777777" w:rsidR="00B725A1" w:rsidRDefault="00B725A1" w:rsidP="00E73B45">
      <w:pPr>
        <w:pStyle w:val="Paragraphedeliste"/>
        <w:numPr>
          <w:ilvl w:val="1"/>
          <w:numId w:val="12"/>
        </w:numPr>
        <w:spacing w:line="240" w:lineRule="auto"/>
        <w:contextualSpacing w:val="0"/>
      </w:pPr>
      <w:proofErr w:type="gramStart"/>
      <w:r>
        <w:t>la</w:t>
      </w:r>
      <w:proofErr w:type="gramEnd"/>
      <w:r>
        <w:t xml:space="preserve"> quantité et la dénomination précise des produits livrés, des prestations et travaux réalisés ;</w:t>
      </w:r>
    </w:p>
    <w:p w14:paraId="48BBC093" w14:textId="77777777" w:rsidR="00B725A1" w:rsidRDefault="00B725A1" w:rsidP="00E73B45">
      <w:pPr>
        <w:pStyle w:val="Paragraphedeliste"/>
        <w:numPr>
          <w:ilvl w:val="1"/>
          <w:numId w:val="12"/>
        </w:numPr>
        <w:spacing w:line="240" w:lineRule="auto"/>
        <w:ind w:left="1434" w:hanging="357"/>
        <w:contextualSpacing w:val="0"/>
      </w:pPr>
      <w:proofErr w:type="gramStart"/>
      <w:r>
        <w:t>le</w:t>
      </w:r>
      <w:proofErr w:type="gramEnd"/>
      <w:r>
        <w:t xml:space="preserve"> prix unitaire hors taxes des produits livrés, des prestations et travaux réalisés ou, lorsqu'il y a lieu, leur prix forfaitaire ;</w:t>
      </w:r>
    </w:p>
    <w:p w14:paraId="65D790AE" w14:textId="77777777" w:rsidR="00B725A1" w:rsidRDefault="00B725A1" w:rsidP="00E73B45">
      <w:pPr>
        <w:pStyle w:val="Paragraphedeliste"/>
        <w:numPr>
          <w:ilvl w:val="1"/>
          <w:numId w:val="12"/>
        </w:numPr>
        <w:spacing w:line="240" w:lineRule="auto"/>
        <w:ind w:left="1434" w:hanging="357"/>
        <w:contextualSpacing w:val="0"/>
      </w:pPr>
      <w:proofErr w:type="gramStart"/>
      <w:r>
        <w:t>le</w:t>
      </w:r>
      <w:proofErr w:type="gramEnd"/>
      <w:r>
        <w:t xml:space="preserve"> montant total de la facture, le montant total hors taxes et le montant de la taxe à payer, ainsi que la répartition de ces montants par taux de taxe sur la valeur ajoutée, ou, le cas échéant, le bénéfice d'une exonération ;</w:t>
      </w:r>
    </w:p>
    <w:p w14:paraId="19D655C7" w14:textId="77777777" w:rsidR="00B725A1" w:rsidRDefault="00B725A1" w:rsidP="00E73B45">
      <w:pPr>
        <w:pStyle w:val="Paragraphedeliste"/>
        <w:numPr>
          <w:ilvl w:val="1"/>
          <w:numId w:val="12"/>
        </w:numPr>
        <w:spacing w:line="240" w:lineRule="auto"/>
        <w:contextualSpacing w:val="0"/>
      </w:pPr>
      <w:proofErr w:type="gramStart"/>
      <w:r>
        <w:t>l'identification</w:t>
      </w:r>
      <w:proofErr w:type="gramEnd"/>
      <w:r>
        <w:t>, le cas échéant, du représentant fiscal de l'émetteur de la facture ;</w:t>
      </w:r>
    </w:p>
    <w:p w14:paraId="4EA582B7" w14:textId="77777777" w:rsidR="00B725A1" w:rsidRDefault="00B725A1" w:rsidP="00E73B45">
      <w:pPr>
        <w:pStyle w:val="Paragraphedeliste"/>
        <w:numPr>
          <w:ilvl w:val="1"/>
          <w:numId w:val="12"/>
        </w:numPr>
        <w:spacing w:line="240" w:lineRule="auto"/>
        <w:contextualSpacing w:val="0"/>
      </w:pPr>
      <w:proofErr w:type="gramStart"/>
      <w:r>
        <w:t>le</w:t>
      </w:r>
      <w:proofErr w:type="gramEnd"/>
      <w:r>
        <w:t xml:space="preserve"> cas échéant, les modalités de règlement ;</w:t>
      </w:r>
    </w:p>
    <w:p w14:paraId="3E949500" w14:textId="77777777" w:rsidR="00B725A1" w:rsidRDefault="00B725A1" w:rsidP="00E73B45">
      <w:pPr>
        <w:pStyle w:val="Paragraphedeliste"/>
        <w:numPr>
          <w:ilvl w:val="1"/>
          <w:numId w:val="12"/>
        </w:numPr>
        <w:spacing w:line="240" w:lineRule="auto"/>
        <w:contextualSpacing w:val="0"/>
      </w:pPr>
      <w:proofErr w:type="gramStart"/>
      <w:r>
        <w:t>le</w:t>
      </w:r>
      <w:proofErr w:type="gramEnd"/>
      <w:r>
        <w:t xml:space="preserve"> cas échéant, les renseignements relatifs aux déductions ou versements complémentaires.</w:t>
      </w:r>
    </w:p>
    <w:p w14:paraId="6524F7C4" w14:textId="77777777" w:rsidR="00B725A1" w:rsidRDefault="00B725A1" w:rsidP="00E73B45">
      <w:pPr>
        <w:pStyle w:val="Paragraphedeliste"/>
        <w:numPr>
          <w:ilvl w:val="1"/>
          <w:numId w:val="12"/>
        </w:numPr>
        <w:spacing w:line="240" w:lineRule="auto"/>
        <w:ind w:left="1434" w:hanging="357"/>
        <w:contextualSpacing w:val="0"/>
      </w:pPr>
      <w:proofErr w:type="gramStart"/>
      <w:r>
        <w:t>les</w:t>
      </w:r>
      <w:proofErr w:type="gramEnd"/>
      <w:r>
        <w:t xml:space="preserve"> factures comportent, en application de l'article R. 123-221 du code de commerce, le numéro d'identité de l'émetteur de la facture attribué à chaque établissement ou, à défaut, à chaque personne inscrite ;</w:t>
      </w:r>
    </w:p>
    <w:p w14:paraId="56420114" w14:textId="77777777" w:rsidR="00B725A1" w:rsidRDefault="00B725A1" w:rsidP="00E73B45">
      <w:pPr>
        <w:pStyle w:val="Paragraphedeliste"/>
        <w:numPr>
          <w:ilvl w:val="0"/>
          <w:numId w:val="12"/>
        </w:numPr>
        <w:spacing w:line="240" w:lineRule="auto"/>
        <w:contextualSpacing w:val="0"/>
      </w:pPr>
      <w:proofErr w:type="gramStart"/>
      <w:r w:rsidRPr="00600FE8">
        <w:rPr>
          <w:u w:val="single"/>
        </w:rPr>
        <w:t>pour</w:t>
      </w:r>
      <w:proofErr w:type="gramEnd"/>
      <w:r w:rsidRPr="00600FE8">
        <w:rPr>
          <w:u w:val="single"/>
        </w:rPr>
        <w:t xml:space="preserve"> les bons de commande</w:t>
      </w:r>
      <w:r>
        <w:t xml:space="preserve"> : le numéro Chorus intitulé "REF CHORUS" commençant par </w:t>
      </w:r>
      <w:r w:rsidRPr="00600FE8">
        <w:rPr>
          <w:b/>
        </w:rPr>
        <w:t>14</w:t>
      </w:r>
      <w:r>
        <w:t>……;</w:t>
      </w:r>
    </w:p>
    <w:p w14:paraId="3D30452A" w14:textId="122A3D59" w:rsidR="00B725A1" w:rsidRDefault="00B725A1" w:rsidP="00E73B45">
      <w:pPr>
        <w:pStyle w:val="Paragraphedeliste"/>
        <w:numPr>
          <w:ilvl w:val="0"/>
          <w:numId w:val="12"/>
        </w:numPr>
        <w:spacing w:line="240" w:lineRule="auto"/>
        <w:contextualSpacing w:val="0"/>
      </w:pPr>
      <w:proofErr w:type="gramStart"/>
      <w:r w:rsidRPr="00600FE8">
        <w:rPr>
          <w:u w:val="single"/>
        </w:rPr>
        <w:t>pour</w:t>
      </w:r>
      <w:proofErr w:type="gramEnd"/>
      <w:r w:rsidRPr="00600FE8">
        <w:rPr>
          <w:u w:val="single"/>
        </w:rPr>
        <w:t xml:space="preserve"> </w:t>
      </w:r>
      <w:r w:rsidR="00676A86" w:rsidRPr="00600FE8">
        <w:rPr>
          <w:u w:val="single"/>
        </w:rPr>
        <w:t xml:space="preserve">les </w:t>
      </w:r>
      <w:r w:rsidR="0057045A">
        <w:rPr>
          <w:u w:val="single"/>
        </w:rPr>
        <w:t>accords-cadres</w:t>
      </w:r>
      <w:r>
        <w:t xml:space="preserve"> : le numéro comportant dix chiffres, correspondant à l'engagement juridique (</w:t>
      </w:r>
      <w:r w:rsidRPr="00600FE8">
        <w:rPr>
          <w:b/>
        </w:rPr>
        <w:t>n° EJ court indiqué dans le mail de notification</w:t>
      </w:r>
      <w:r>
        <w:t>) ;</w:t>
      </w:r>
    </w:p>
    <w:p w14:paraId="7AB51E9C" w14:textId="77777777" w:rsidR="00600FE8" w:rsidRPr="00686CBE" w:rsidRDefault="00600FE8" w:rsidP="00E73B45">
      <w:pPr>
        <w:pStyle w:val="Paragraphedeliste"/>
        <w:numPr>
          <w:ilvl w:val="0"/>
          <w:numId w:val="12"/>
        </w:numPr>
        <w:spacing w:line="240" w:lineRule="auto"/>
        <w:contextualSpacing w:val="0"/>
      </w:pPr>
      <w:proofErr w:type="gramStart"/>
      <w:r w:rsidRPr="00686CBE">
        <w:t>le</w:t>
      </w:r>
      <w:proofErr w:type="gramEnd"/>
      <w:r w:rsidRPr="00686CBE">
        <w:t xml:space="preserve"> numéro d'identification du service en charge de l'exécution du paiement généré par l'application "Chorus": </w:t>
      </w:r>
      <w:r w:rsidRPr="00600FE8">
        <w:rPr>
          <w:b/>
        </w:rPr>
        <w:t>D0975HB075</w:t>
      </w:r>
      <w:r>
        <w:t xml:space="preserve"> </w:t>
      </w:r>
      <w:r w:rsidRPr="00686CBE">
        <w:t>;</w:t>
      </w:r>
    </w:p>
    <w:p w14:paraId="47C1BA01" w14:textId="16E855BA" w:rsidR="00600FE8" w:rsidRDefault="00600FE8" w:rsidP="00E73B45">
      <w:pPr>
        <w:pStyle w:val="Paragraphedeliste"/>
        <w:numPr>
          <w:ilvl w:val="0"/>
          <w:numId w:val="12"/>
        </w:numPr>
        <w:spacing w:line="240" w:lineRule="auto"/>
        <w:contextualSpacing w:val="0"/>
      </w:pPr>
      <w:proofErr w:type="gramStart"/>
      <w:r>
        <w:t>le</w:t>
      </w:r>
      <w:proofErr w:type="gramEnd"/>
      <w:r>
        <w:t xml:space="preserve"> numéro SIRET de l’Etat : </w:t>
      </w:r>
      <w:r w:rsidRPr="00600FE8">
        <w:rPr>
          <w:b/>
        </w:rPr>
        <w:t>110</w:t>
      </w:r>
      <w:r w:rsidR="0057045A">
        <w:rPr>
          <w:b/>
        </w:rPr>
        <w:t xml:space="preserve"> </w:t>
      </w:r>
      <w:r w:rsidRPr="00600FE8">
        <w:rPr>
          <w:b/>
        </w:rPr>
        <w:t>002</w:t>
      </w:r>
      <w:r w:rsidR="0057045A">
        <w:rPr>
          <w:b/>
        </w:rPr>
        <w:t xml:space="preserve"> </w:t>
      </w:r>
      <w:r w:rsidRPr="00600FE8">
        <w:rPr>
          <w:b/>
        </w:rPr>
        <w:t>011</w:t>
      </w:r>
      <w:r w:rsidR="0057045A">
        <w:rPr>
          <w:b/>
        </w:rPr>
        <w:t xml:space="preserve"> </w:t>
      </w:r>
      <w:r w:rsidRPr="00600FE8">
        <w:rPr>
          <w:b/>
        </w:rPr>
        <w:t>00044</w:t>
      </w:r>
      <w:r>
        <w:rPr>
          <w:b/>
        </w:rPr>
        <w:t> </w:t>
      </w:r>
      <w:r w:rsidRPr="00600FE8">
        <w:t>;</w:t>
      </w:r>
    </w:p>
    <w:p w14:paraId="258F5B09" w14:textId="77777777" w:rsidR="00B725A1" w:rsidRDefault="00B725A1" w:rsidP="00E73B45">
      <w:pPr>
        <w:pStyle w:val="Paragraphedeliste"/>
        <w:numPr>
          <w:ilvl w:val="0"/>
          <w:numId w:val="12"/>
        </w:numPr>
        <w:spacing w:line="240" w:lineRule="auto"/>
        <w:contextualSpacing w:val="0"/>
      </w:pPr>
      <w:proofErr w:type="gramStart"/>
      <w:r>
        <w:t>la</w:t>
      </w:r>
      <w:proofErr w:type="gramEnd"/>
      <w:r>
        <w:t xml:space="preserve"> domiciliation bancaire imprimée sur la facture ou un relevé d’identité bancaire ou postal si celui-ci est différent des mentions figurant </w:t>
      </w:r>
      <w:r w:rsidR="004F3618">
        <w:t>au présent document</w:t>
      </w:r>
      <w:r>
        <w:t>.</w:t>
      </w:r>
    </w:p>
    <w:p w14:paraId="07A430BB" w14:textId="77777777" w:rsidR="009378B6" w:rsidRDefault="009378B6" w:rsidP="00C7548A"/>
    <w:p w14:paraId="4AD88D2A" w14:textId="3CB674AE" w:rsidR="00600FE8" w:rsidRPr="00E85775" w:rsidRDefault="00600FE8" w:rsidP="00600FE8">
      <w:pPr>
        <w:rPr>
          <w:b/>
        </w:rPr>
      </w:pPr>
      <w:r w:rsidRPr="00E85775">
        <w:t>En cas de problèmes conce</w:t>
      </w:r>
      <w:r>
        <w:t>rnant le paiement des factures</w:t>
      </w:r>
      <w:r w:rsidRPr="00E85775">
        <w:t xml:space="preserve">, le titulaire peut s’adresser au </w:t>
      </w:r>
      <w:r>
        <w:t xml:space="preserve">bureau finances de la sous-direction de préfiguration de l’agence ministérielle de gestion à l’adresse suivante : </w:t>
      </w:r>
      <w:hyperlink r:id="rId12" w:history="1">
        <w:r w:rsidRPr="00923C84">
          <w:rPr>
            <w:rStyle w:val="Lienhypertexte"/>
          </w:rPr>
          <w:t>sga-sdpamg-bfin-fournisseurs.contact.fct@intradef.gouv.fr</w:t>
        </w:r>
      </w:hyperlink>
      <w:r w:rsidR="006E3238">
        <w:t>.</w:t>
      </w:r>
    </w:p>
    <w:p w14:paraId="09AF2A3A" w14:textId="77777777" w:rsidR="00E85775" w:rsidRPr="00E85775" w:rsidRDefault="00E85775" w:rsidP="00C7548A"/>
    <w:p w14:paraId="1FF3B71C" w14:textId="77777777" w:rsidR="00E85775" w:rsidRPr="00E85775" w:rsidRDefault="00E85775" w:rsidP="009F0863">
      <w:pPr>
        <w:pStyle w:val="Titre6"/>
      </w:pPr>
      <w:r w:rsidRPr="00E85775">
        <w:lastRenderedPageBreak/>
        <w:t>11.3.2 Modalités concernant les demandes de paiement des sous-traitants ayant droit au paiement direct (montant ≥ 600 € TTC).</w:t>
      </w:r>
    </w:p>
    <w:p w14:paraId="63C45DF3" w14:textId="77777777" w:rsidR="00E85775" w:rsidRDefault="00E85775" w:rsidP="009F0863">
      <w:pPr>
        <w:keepNext/>
      </w:pPr>
    </w:p>
    <w:p w14:paraId="7F5516A1" w14:textId="77777777" w:rsidR="00686CBE" w:rsidRDefault="00686CBE" w:rsidP="009F0863">
      <w:pPr>
        <w:keepNext/>
      </w:pPr>
      <w:r w:rsidRPr="00BB5E68">
        <w:t>Conformément à l’article L.2192-1 du code de la commande publique, les titulaires de marchés conclus avec l’Etat ainsi que leurs sous-traitants admis au paiement direct, transmettent leurs factures sous forme électronique.</w:t>
      </w:r>
    </w:p>
    <w:p w14:paraId="7E521924" w14:textId="77777777" w:rsidR="00686CBE" w:rsidRPr="00E85775" w:rsidRDefault="00686CBE" w:rsidP="00C7548A"/>
    <w:p w14:paraId="2E9B879E" w14:textId="77777777" w:rsidR="00E85775" w:rsidRPr="00E85775" w:rsidRDefault="00E85775" w:rsidP="00C7548A">
      <w:r w:rsidRPr="00E85775">
        <w:t xml:space="preserve">Conformément à l’article R. 2193-11 du code de la commande publique, le sous-traitant adresse sa demande de paiement au titulaire </w:t>
      </w:r>
      <w:r w:rsidR="0037147F">
        <w:t>de l’accord-cadre</w:t>
      </w:r>
      <w:r w:rsidRPr="00E85775">
        <w:t>, par tout moyen permettant d’en assurer la réception et d’en déterminer la date ou la dépose auprès du titulaire contre récépissé.</w:t>
      </w:r>
    </w:p>
    <w:p w14:paraId="1FAE96E3" w14:textId="77777777" w:rsidR="00E85775" w:rsidRPr="00E85775" w:rsidRDefault="00E85775" w:rsidP="00C7548A"/>
    <w:p w14:paraId="07DF37D1" w14:textId="77777777" w:rsidR="00E85775" w:rsidRPr="00E85775" w:rsidRDefault="00E85775" w:rsidP="00C7548A">
      <w:r w:rsidRPr="00E85775">
        <w:t xml:space="preserve">Le titulaire dispose de quinze jours à compter de la signature de l'accusé de réception ou du récépissé pour donner son accord, ou notifier un refus, d'une part, au sous-traitant et, d'autre part, </w:t>
      </w:r>
      <w:r w:rsidR="005C51D5">
        <w:t>à l’acheteur</w:t>
      </w:r>
      <w:r w:rsidRPr="00E85775">
        <w:t xml:space="preserve">. </w:t>
      </w:r>
    </w:p>
    <w:p w14:paraId="196D0CFE" w14:textId="77777777" w:rsidR="00E85775" w:rsidRPr="00E85775" w:rsidRDefault="00E85775" w:rsidP="00C7548A"/>
    <w:p w14:paraId="07982B5E" w14:textId="77777777" w:rsidR="00E85775" w:rsidRPr="00E85775" w:rsidRDefault="00E85775" w:rsidP="00C7548A">
      <w:r w:rsidRPr="00E85775">
        <w:t>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de réception ou du récépissé attestant que le titulaire a bien reçu la demande ou de l'avis postal attestant que le pli a été refusé ou n'a pas été réclamé.</w:t>
      </w:r>
    </w:p>
    <w:p w14:paraId="73C46660" w14:textId="77777777" w:rsidR="00E85775" w:rsidRPr="00E85775" w:rsidRDefault="00E85775" w:rsidP="00C7548A"/>
    <w:p w14:paraId="509857AD" w14:textId="77777777" w:rsidR="00686CBE" w:rsidRPr="00812799" w:rsidRDefault="00686CBE" w:rsidP="00C7548A">
      <w:r w:rsidRPr="00812799">
        <w:t>Les factures des sous-traitants doivent impérativement comprendre</w:t>
      </w:r>
      <w:r>
        <w:t> :</w:t>
      </w:r>
    </w:p>
    <w:p w14:paraId="7F6869C6" w14:textId="77777777" w:rsidR="00B725A1" w:rsidRDefault="00B725A1" w:rsidP="00E73B45">
      <w:pPr>
        <w:pStyle w:val="Paragraphedeliste"/>
        <w:numPr>
          <w:ilvl w:val="0"/>
          <w:numId w:val="12"/>
        </w:numPr>
        <w:spacing w:line="240" w:lineRule="auto"/>
        <w:ind w:hanging="357"/>
        <w:contextualSpacing w:val="0"/>
      </w:pPr>
      <w:proofErr w:type="gramStart"/>
      <w:r>
        <w:t>les</w:t>
      </w:r>
      <w:proofErr w:type="gramEnd"/>
      <w:r>
        <w:t xml:space="preserve"> mentions obligatoires listées à l’article D.2192-2 du code de la commande publique :</w:t>
      </w:r>
    </w:p>
    <w:p w14:paraId="63AEE0A4" w14:textId="77777777" w:rsidR="00B725A1" w:rsidRDefault="00B725A1" w:rsidP="00E73B45">
      <w:pPr>
        <w:pStyle w:val="Paragraphedeliste"/>
        <w:numPr>
          <w:ilvl w:val="1"/>
          <w:numId w:val="12"/>
        </w:numPr>
        <w:spacing w:line="240" w:lineRule="auto"/>
        <w:ind w:hanging="357"/>
        <w:contextualSpacing w:val="0"/>
      </w:pPr>
      <w:proofErr w:type="gramStart"/>
      <w:r>
        <w:t>la</w:t>
      </w:r>
      <w:proofErr w:type="gramEnd"/>
      <w:r>
        <w:t xml:space="preserve"> date d'émission de la facture ;</w:t>
      </w:r>
    </w:p>
    <w:p w14:paraId="46ECDC67" w14:textId="77777777" w:rsidR="00B725A1" w:rsidRDefault="00B725A1" w:rsidP="00E73B45">
      <w:pPr>
        <w:pStyle w:val="Paragraphedeliste"/>
        <w:numPr>
          <w:ilvl w:val="1"/>
          <w:numId w:val="12"/>
        </w:numPr>
        <w:spacing w:line="240" w:lineRule="auto"/>
        <w:ind w:hanging="357"/>
        <w:contextualSpacing w:val="0"/>
      </w:pPr>
      <w:proofErr w:type="gramStart"/>
      <w:r>
        <w:t>la</w:t>
      </w:r>
      <w:proofErr w:type="gramEnd"/>
      <w:r>
        <w:t xml:space="preserve"> désignation de l'émetteur et du destinataire de la facture ;</w:t>
      </w:r>
    </w:p>
    <w:p w14:paraId="07D039AE" w14:textId="77777777" w:rsidR="00B725A1" w:rsidRDefault="00B725A1" w:rsidP="00E73B45">
      <w:pPr>
        <w:pStyle w:val="Paragraphedeliste"/>
        <w:numPr>
          <w:ilvl w:val="1"/>
          <w:numId w:val="12"/>
        </w:numPr>
        <w:spacing w:line="240" w:lineRule="auto"/>
        <w:ind w:hanging="357"/>
        <w:contextualSpacing w:val="0"/>
      </w:pPr>
      <w:proofErr w:type="gramStart"/>
      <w:r>
        <w:t>le</w:t>
      </w:r>
      <w:proofErr w:type="gramEnd"/>
      <w:r>
        <w:t xml:space="preserve"> numéro unique basé sur une séquence chronologique et continue établie par l'émetteur de la facture, la numérotation pouvant être établie dans ces conditions sur une ou plusieurs séries ;</w:t>
      </w:r>
    </w:p>
    <w:p w14:paraId="5A418F04" w14:textId="77777777" w:rsidR="00B725A1" w:rsidRDefault="00B725A1" w:rsidP="00E73B45">
      <w:pPr>
        <w:pStyle w:val="Paragraphedeliste"/>
        <w:numPr>
          <w:ilvl w:val="1"/>
          <w:numId w:val="12"/>
        </w:numPr>
        <w:spacing w:line="240" w:lineRule="auto"/>
        <w:ind w:hanging="357"/>
        <w:contextualSpacing w:val="0"/>
      </w:pPr>
      <w:proofErr w:type="gramStart"/>
      <w:r>
        <w:t>la</w:t>
      </w:r>
      <w:proofErr w:type="gramEnd"/>
      <w:r>
        <w:t xml:space="preserve"> date de livraison des fournitures ou d'exécution des services ou des travaux ;</w:t>
      </w:r>
    </w:p>
    <w:p w14:paraId="20187F3F" w14:textId="77777777" w:rsidR="00B725A1" w:rsidRDefault="00B725A1" w:rsidP="00E73B45">
      <w:pPr>
        <w:pStyle w:val="Paragraphedeliste"/>
        <w:numPr>
          <w:ilvl w:val="1"/>
          <w:numId w:val="12"/>
        </w:numPr>
        <w:spacing w:line="240" w:lineRule="auto"/>
        <w:ind w:hanging="357"/>
        <w:contextualSpacing w:val="0"/>
      </w:pPr>
      <w:proofErr w:type="gramStart"/>
      <w:r>
        <w:t>la</w:t>
      </w:r>
      <w:proofErr w:type="gramEnd"/>
      <w:r>
        <w:t xml:space="preserve"> quantité et la dénomination précise des produits livrés, des prestations et travaux réalisés ;</w:t>
      </w:r>
    </w:p>
    <w:p w14:paraId="66D651DA" w14:textId="77777777" w:rsidR="00B725A1" w:rsidRDefault="00B725A1" w:rsidP="00E73B45">
      <w:pPr>
        <w:pStyle w:val="Paragraphedeliste"/>
        <w:numPr>
          <w:ilvl w:val="1"/>
          <w:numId w:val="12"/>
        </w:numPr>
        <w:spacing w:line="240" w:lineRule="auto"/>
        <w:ind w:hanging="357"/>
        <w:contextualSpacing w:val="0"/>
      </w:pPr>
      <w:proofErr w:type="gramStart"/>
      <w:r>
        <w:t>le</w:t>
      </w:r>
      <w:proofErr w:type="gramEnd"/>
      <w:r>
        <w:t xml:space="preserve"> prix unitaire hors taxes des produits livrés, des prestations et travaux réalisés ou, lorsqu'il y a lieu, leur prix forfaitaire ;</w:t>
      </w:r>
    </w:p>
    <w:p w14:paraId="470EFA5A" w14:textId="77777777" w:rsidR="00B725A1" w:rsidRDefault="00B725A1" w:rsidP="00E73B45">
      <w:pPr>
        <w:pStyle w:val="Paragraphedeliste"/>
        <w:numPr>
          <w:ilvl w:val="1"/>
          <w:numId w:val="12"/>
        </w:numPr>
        <w:spacing w:line="240" w:lineRule="auto"/>
        <w:ind w:hanging="357"/>
        <w:contextualSpacing w:val="0"/>
      </w:pPr>
      <w:proofErr w:type="gramStart"/>
      <w:r>
        <w:t>le</w:t>
      </w:r>
      <w:proofErr w:type="gramEnd"/>
      <w:r>
        <w:t xml:space="preserve"> montant total de la facture, le montant total hors taxes et le montant de la taxe à payer, ainsi que la répartition de ces montants par taux de taxe sur la valeur ajoutée, ou, le cas échéant, le bénéfice d'une exonération ;</w:t>
      </w:r>
    </w:p>
    <w:p w14:paraId="24A72697" w14:textId="77777777" w:rsidR="00B725A1" w:rsidRDefault="00B725A1" w:rsidP="00E73B45">
      <w:pPr>
        <w:pStyle w:val="Paragraphedeliste"/>
        <w:numPr>
          <w:ilvl w:val="1"/>
          <w:numId w:val="12"/>
        </w:numPr>
        <w:spacing w:line="240" w:lineRule="auto"/>
        <w:ind w:hanging="357"/>
        <w:contextualSpacing w:val="0"/>
      </w:pPr>
      <w:proofErr w:type="gramStart"/>
      <w:r>
        <w:t>l'identification</w:t>
      </w:r>
      <w:proofErr w:type="gramEnd"/>
      <w:r>
        <w:t>, le cas échéant, du représentant fiscal de l'émetteur de la facture ;</w:t>
      </w:r>
    </w:p>
    <w:p w14:paraId="3B8024CE" w14:textId="77777777" w:rsidR="00B725A1" w:rsidRDefault="00B725A1" w:rsidP="00E73B45">
      <w:pPr>
        <w:pStyle w:val="Paragraphedeliste"/>
        <w:numPr>
          <w:ilvl w:val="1"/>
          <w:numId w:val="12"/>
        </w:numPr>
        <w:spacing w:line="240" w:lineRule="auto"/>
        <w:ind w:hanging="357"/>
        <w:contextualSpacing w:val="0"/>
      </w:pPr>
      <w:proofErr w:type="gramStart"/>
      <w:r>
        <w:t>le</w:t>
      </w:r>
      <w:proofErr w:type="gramEnd"/>
      <w:r>
        <w:t xml:space="preserve"> cas échéant, les modalités de règlement ;</w:t>
      </w:r>
    </w:p>
    <w:p w14:paraId="3E10C449" w14:textId="77777777" w:rsidR="00B725A1" w:rsidRDefault="00B725A1" w:rsidP="00E73B45">
      <w:pPr>
        <w:pStyle w:val="Paragraphedeliste"/>
        <w:numPr>
          <w:ilvl w:val="1"/>
          <w:numId w:val="12"/>
        </w:numPr>
        <w:spacing w:line="240" w:lineRule="auto"/>
        <w:ind w:hanging="357"/>
        <w:contextualSpacing w:val="0"/>
      </w:pPr>
      <w:proofErr w:type="gramStart"/>
      <w:r>
        <w:t>le</w:t>
      </w:r>
      <w:proofErr w:type="gramEnd"/>
      <w:r>
        <w:t xml:space="preserve"> cas échéant, les renseignements relatifs aux déductions ou versements complémentaires.</w:t>
      </w:r>
    </w:p>
    <w:p w14:paraId="2446E902" w14:textId="77777777" w:rsidR="00B725A1" w:rsidRDefault="00B725A1" w:rsidP="00E73B45">
      <w:pPr>
        <w:pStyle w:val="Paragraphedeliste"/>
        <w:numPr>
          <w:ilvl w:val="1"/>
          <w:numId w:val="12"/>
        </w:numPr>
        <w:spacing w:line="240" w:lineRule="auto"/>
        <w:ind w:hanging="357"/>
        <w:contextualSpacing w:val="0"/>
      </w:pPr>
      <w:proofErr w:type="gramStart"/>
      <w:r>
        <w:t>les</w:t>
      </w:r>
      <w:proofErr w:type="gramEnd"/>
      <w:r>
        <w:t xml:space="preserve"> factures comportent, en application de l'article R. 123-221 du code de commerce, le numéro d'identité de l'émetteur de la facture attribué à chaque établissement ou, à défaut, à chaque personne inscrite ;</w:t>
      </w:r>
    </w:p>
    <w:p w14:paraId="4F65A5F3" w14:textId="77777777" w:rsidR="00B725A1" w:rsidRDefault="00B725A1" w:rsidP="00E73B45">
      <w:pPr>
        <w:pStyle w:val="Paragraphedeliste"/>
        <w:numPr>
          <w:ilvl w:val="0"/>
          <w:numId w:val="12"/>
        </w:numPr>
        <w:spacing w:line="240" w:lineRule="auto"/>
        <w:ind w:hanging="357"/>
        <w:contextualSpacing w:val="0"/>
      </w:pPr>
      <w:proofErr w:type="gramStart"/>
      <w:r>
        <w:t>pour</w:t>
      </w:r>
      <w:proofErr w:type="gramEnd"/>
      <w:r>
        <w:t xml:space="preserve"> les bons de commande : le numéro Chorus intitulé "REF CHORUS" commençant par </w:t>
      </w:r>
      <w:r w:rsidRPr="00327989">
        <w:rPr>
          <w:b/>
        </w:rPr>
        <w:t>14</w:t>
      </w:r>
      <w:r>
        <w:t>……;</w:t>
      </w:r>
    </w:p>
    <w:p w14:paraId="099C4C46" w14:textId="20CE4365" w:rsidR="00B725A1" w:rsidRDefault="00B725A1" w:rsidP="00E73B45">
      <w:pPr>
        <w:pStyle w:val="Paragraphedeliste"/>
        <w:numPr>
          <w:ilvl w:val="0"/>
          <w:numId w:val="12"/>
        </w:numPr>
        <w:spacing w:line="240" w:lineRule="auto"/>
        <w:ind w:hanging="357"/>
        <w:contextualSpacing w:val="0"/>
      </w:pPr>
      <w:proofErr w:type="gramStart"/>
      <w:r>
        <w:t>pour</w:t>
      </w:r>
      <w:proofErr w:type="gramEnd"/>
      <w:r>
        <w:t xml:space="preserve"> les </w:t>
      </w:r>
      <w:r w:rsidR="0057045A">
        <w:t>accords-cadres</w:t>
      </w:r>
      <w:r w:rsidR="00300D48">
        <w:t xml:space="preserve"> </w:t>
      </w:r>
      <w:r>
        <w:t>: le numéro comportant dix chiffres, correspondant à l'engagement juridique (</w:t>
      </w:r>
      <w:r w:rsidRPr="00327989">
        <w:rPr>
          <w:b/>
        </w:rPr>
        <w:t>n° EJ court indiqué dans le mail de notification</w:t>
      </w:r>
      <w:r>
        <w:t>) ;</w:t>
      </w:r>
    </w:p>
    <w:p w14:paraId="5D8A6F8E" w14:textId="77777777" w:rsidR="00327989" w:rsidRPr="00686CBE" w:rsidRDefault="00327989" w:rsidP="00E73B45">
      <w:pPr>
        <w:pStyle w:val="Paragraphedeliste"/>
        <w:numPr>
          <w:ilvl w:val="0"/>
          <w:numId w:val="12"/>
        </w:numPr>
        <w:spacing w:line="240" w:lineRule="auto"/>
        <w:ind w:hanging="357"/>
        <w:contextualSpacing w:val="0"/>
      </w:pPr>
      <w:proofErr w:type="gramStart"/>
      <w:r w:rsidRPr="00686CBE">
        <w:t>le</w:t>
      </w:r>
      <w:proofErr w:type="gramEnd"/>
      <w:r w:rsidRPr="00686CBE">
        <w:t xml:space="preserve"> numéro d'identification du service en charge de l'exécution du paiement généré par l'application "Chorus": </w:t>
      </w:r>
      <w:r w:rsidRPr="00327989">
        <w:rPr>
          <w:b/>
        </w:rPr>
        <w:t>D0975HB075</w:t>
      </w:r>
      <w:r>
        <w:t xml:space="preserve"> </w:t>
      </w:r>
      <w:r w:rsidRPr="00686CBE">
        <w:t>;</w:t>
      </w:r>
    </w:p>
    <w:p w14:paraId="24F23DD1" w14:textId="0EFD9BCA" w:rsidR="00327989" w:rsidRPr="00327989" w:rsidRDefault="00327989" w:rsidP="00E73B45">
      <w:pPr>
        <w:pStyle w:val="Paragraphedeliste"/>
        <w:numPr>
          <w:ilvl w:val="0"/>
          <w:numId w:val="12"/>
        </w:numPr>
        <w:spacing w:line="240" w:lineRule="auto"/>
        <w:ind w:hanging="357"/>
        <w:contextualSpacing w:val="0"/>
        <w:rPr>
          <w:b/>
        </w:rPr>
      </w:pPr>
      <w:proofErr w:type="gramStart"/>
      <w:r>
        <w:t>le</w:t>
      </w:r>
      <w:proofErr w:type="gramEnd"/>
      <w:r>
        <w:t xml:space="preserve"> numéro SIRET de l’Etat : </w:t>
      </w:r>
      <w:r w:rsidRPr="00327989">
        <w:rPr>
          <w:b/>
        </w:rPr>
        <w:t>110</w:t>
      </w:r>
      <w:r w:rsidR="00D21AC3">
        <w:rPr>
          <w:b/>
        </w:rPr>
        <w:t xml:space="preserve"> </w:t>
      </w:r>
      <w:r w:rsidRPr="00327989">
        <w:rPr>
          <w:b/>
        </w:rPr>
        <w:t>002</w:t>
      </w:r>
      <w:r w:rsidR="00D21AC3">
        <w:rPr>
          <w:b/>
        </w:rPr>
        <w:t xml:space="preserve"> </w:t>
      </w:r>
      <w:r w:rsidRPr="00327989">
        <w:rPr>
          <w:b/>
        </w:rPr>
        <w:t>011</w:t>
      </w:r>
      <w:r w:rsidR="00D21AC3">
        <w:rPr>
          <w:b/>
        </w:rPr>
        <w:t xml:space="preserve"> </w:t>
      </w:r>
      <w:r w:rsidRPr="00327989">
        <w:rPr>
          <w:b/>
        </w:rPr>
        <w:t>00044</w:t>
      </w:r>
      <w:r w:rsidRPr="00327989">
        <w:t> ;</w:t>
      </w:r>
    </w:p>
    <w:p w14:paraId="3A9083D7" w14:textId="77777777" w:rsidR="00B725A1" w:rsidRDefault="00B725A1" w:rsidP="00E73B45">
      <w:pPr>
        <w:pStyle w:val="Paragraphedeliste"/>
        <w:numPr>
          <w:ilvl w:val="0"/>
          <w:numId w:val="12"/>
        </w:numPr>
        <w:spacing w:line="240" w:lineRule="auto"/>
        <w:ind w:hanging="357"/>
        <w:contextualSpacing w:val="0"/>
      </w:pPr>
      <w:proofErr w:type="gramStart"/>
      <w:r>
        <w:t>la</w:t>
      </w:r>
      <w:proofErr w:type="gramEnd"/>
      <w:r>
        <w:t xml:space="preserve"> domiciliation bancaire imprimée sur la facture ou un relevé d’identité bancaire ou postal si celui-ci est différent des mentions figurant </w:t>
      </w:r>
      <w:r w:rsidR="008C444B">
        <w:t>au présent document</w:t>
      </w:r>
      <w:r>
        <w:t>.</w:t>
      </w:r>
    </w:p>
    <w:p w14:paraId="551EB335" w14:textId="77777777" w:rsidR="00E85775" w:rsidRPr="00E85775" w:rsidRDefault="00E85775" w:rsidP="00C7548A"/>
    <w:p w14:paraId="612DC800" w14:textId="028E64BE" w:rsidR="003961CC" w:rsidRPr="001746C0" w:rsidRDefault="003961CC" w:rsidP="003961CC">
      <w:pPr>
        <w:rPr>
          <w:rFonts w:cs="Arial"/>
        </w:rPr>
      </w:pPr>
      <w:r w:rsidRPr="001746C0">
        <w:rPr>
          <w:rFonts w:cs="Arial"/>
        </w:rPr>
        <w:t>Si, du fait du titulaire (adresse incomplète ou non conforme, etc</w:t>
      </w:r>
      <w:r w:rsidR="00243F79">
        <w:rPr>
          <w:rFonts w:cs="Arial"/>
        </w:rPr>
        <w:t>.</w:t>
      </w:r>
      <w:r w:rsidRPr="001746C0">
        <w:rPr>
          <w:rFonts w:cs="Arial"/>
        </w:rPr>
        <w:t>), les demandes de paiement ne sont pas adressées au service liquidateur intéressé, la date de réception prise en compte comme point de départ du délai de paiement est celle de la réception effective de la demande par le service liquidateur compétent.</w:t>
      </w:r>
    </w:p>
    <w:p w14:paraId="0033A575" w14:textId="4635874F" w:rsidR="003961CC" w:rsidRPr="00E85775" w:rsidRDefault="003961CC" w:rsidP="00C7548A"/>
    <w:p w14:paraId="4F10841B" w14:textId="77777777" w:rsidR="00E85775" w:rsidRPr="00E85775" w:rsidRDefault="00E85775" w:rsidP="000F7994">
      <w:pPr>
        <w:pStyle w:val="Titre2"/>
      </w:pPr>
      <w:bookmarkStart w:id="212" w:name="_Toc507666657"/>
      <w:bookmarkStart w:id="213" w:name="_Toc50109594"/>
      <w:bookmarkStart w:id="214" w:name="_Toc207979772"/>
      <w:r w:rsidRPr="00E85775">
        <w:t>11.4. Délai global de paiement.</w:t>
      </w:r>
      <w:bookmarkEnd w:id="212"/>
      <w:bookmarkEnd w:id="213"/>
      <w:bookmarkEnd w:id="214"/>
    </w:p>
    <w:p w14:paraId="47A8DBD2" w14:textId="77777777" w:rsidR="00E85775" w:rsidRPr="00E85775" w:rsidRDefault="00E85775" w:rsidP="00C7548A"/>
    <w:p w14:paraId="3405E33A" w14:textId="76CB10B7" w:rsidR="00E85775" w:rsidRPr="00E85775" w:rsidRDefault="00E85775" w:rsidP="00C7548A">
      <w:pPr>
        <w:rPr>
          <w:strike/>
        </w:rPr>
      </w:pPr>
      <w:r w:rsidRPr="00E85775">
        <w:t>Le délai global de paiement des sommes dues en exécution de marché est fixé à 30 jours maximum</w:t>
      </w:r>
      <w:r w:rsidR="00E45B56">
        <w:t xml:space="preserve"> conformément</w:t>
      </w:r>
      <w:r w:rsidR="00300D48">
        <w:t xml:space="preserve"> </w:t>
      </w:r>
      <w:r w:rsidRPr="00E85775">
        <w:t>à l’article R. 2192-10 du code de la commande publique.</w:t>
      </w:r>
    </w:p>
    <w:p w14:paraId="60EAFD0A" w14:textId="77777777" w:rsidR="00E85775" w:rsidRPr="00E85775" w:rsidRDefault="00E85775" w:rsidP="00C7548A"/>
    <w:p w14:paraId="31FA41B9" w14:textId="098B0750" w:rsidR="00E85775" w:rsidRPr="00E85775" w:rsidRDefault="00E85775" w:rsidP="00C7548A">
      <w:r w:rsidRPr="00E85775">
        <w:t xml:space="preserve">Le délai de paiement peut être interrompu par </w:t>
      </w:r>
      <w:r w:rsidR="00A87FAB">
        <w:t>l’acheteur</w:t>
      </w:r>
      <w:r w:rsidRPr="00E85775">
        <w:t xml:space="preserve"> dans les conditions prévues aux articles R. 2192-27 à R.</w:t>
      </w:r>
      <w:r w:rsidR="00E45B56">
        <w:t> </w:t>
      </w:r>
      <w:r w:rsidRPr="00E85775">
        <w:t xml:space="preserve">2192-30 du code de la commande publique, s'il constate que la demande de paiement ne comporte pas </w:t>
      </w:r>
      <w:r w:rsidRPr="00E85775">
        <w:lastRenderedPageBreak/>
        <w:t>l'ensemble des pièces et des mentions prévues par la loi ou par le contrat ou que celles-ci sont erronées ou incohérentes.</w:t>
      </w:r>
    </w:p>
    <w:p w14:paraId="68B82EEC" w14:textId="77777777" w:rsidR="00E85775" w:rsidRPr="00E85775" w:rsidRDefault="00E85775" w:rsidP="00C7548A"/>
    <w:p w14:paraId="7CECEFF8" w14:textId="5A8CCC1A" w:rsidR="00E85775" w:rsidRPr="00E85775" w:rsidRDefault="00E85775" w:rsidP="00C7548A">
      <w:r w:rsidRPr="00E85775">
        <w:t xml:space="preserve">Le dépassement du délai de paiement ouvre de plein droit et sans autre formalité, pour le titulaire </w:t>
      </w:r>
      <w:r w:rsidR="0037147F">
        <w:t>de l’accord-cadre</w:t>
      </w:r>
      <w:r w:rsidRPr="00E85775">
        <w:t xml:space="preserve"> ou du sous-traitant admis au paiement direct, au bénéfice d'intérêts moratoires à compter du jour suivant l’expiration du délai de paiement ou l’échéance prévue au contrat et d'indemnité forfaitaire pour frais de recouvrement conformément </w:t>
      </w:r>
      <w:r w:rsidR="00F167C6">
        <w:t xml:space="preserve">aux dispositions </w:t>
      </w:r>
      <w:r w:rsidR="00412EB7">
        <w:t xml:space="preserve">des articles </w:t>
      </w:r>
      <w:r w:rsidR="00F167C6">
        <w:t xml:space="preserve">R. 2192-31 à 36 </w:t>
      </w:r>
      <w:r w:rsidR="00F167C6" w:rsidRPr="00E85775">
        <w:t>du code de la commande publique</w:t>
      </w:r>
      <w:r w:rsidR="00F167C6">
        <w:t>.</w:t>
      </w:r>
    </w:p>
    <w:p w14:paraId="28BEEDF0" w14:textId="77777777" w:rsidR="00E85775" w:rsidRPr="00E85775" w:rsidRDefault="00E85775" w:rsidP="00C7548A"/>
    <w:p w14:paraId="3FBAD8F1" w14:textId="77777777" w:rsidR="00E85775" w:rsidRPr="00E85775" w:rsidRDefault="00E85775" w:rsidP="00C7548A">
      <w:r w:rsidRPr="00E85775">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E217DB3" w14:textId="77777777" w:rsidR="00E85775" w:rsidRPr="00E85775" w:rsidRDefault="00E85775" w:rsidP="00C7548A"/>
    <w:p w14:paraId="65E0284C" w14:textId="77777777" w:rsidR="00E85775" w:rsidRPr="00E85775" w:rsidRDefault="00E85775" w:rsidP="00C7548A">
      <w:r w:rsidRPr="00E85775">
        <w:t>Le montant de l’indemnité forfaitaire pour frais de recouvrement est fixé à l’article D. 2192-35 du code de la commande publique.</w:t>
      </w:r>
    </w:p>
    <w:p w14:paraId="6376D794" w14:textId="77777777" w:rsidR="00E85775" w:rsidRPr="00E85775" w:rsidRDefault="00E85775" w:rsidP="00C7548A"/>
    <w:p w14:paraId="61393F27" w14:textId="77777777" w:rsidR="00E85775" w:rsidRPr="00E85775" w:rsidRDefault="00E85775" w:rsidP="00C7548A">
      <w:r w:rsidRPr="00E85775">
        <w:t>Les intérêts moratoires et l’indemnité forfaitaire pour frais de recouvrement sont payés dans un délai de quarante-cinq (45) jours suivant la mise en paiement du principal.</w:t>
      </w:r>
    </w:p>
    <w:p w14:paraId="6C3894B4" w14:textId="77777777" w:rsidR="00E85775" w:rsidRPr="00E85775" w:rsidRDefault="00E85775" w:rsidP="00C7548A"/>
    <w:p w14:paraId="51ADBFEA" w14:textId="77777777" w:rsidR="000648C5" w:rsidRPr="00E85775" w:rsidRDefault="00E85775" w:rsidP="000648C5">
      <w:r w:rsidRPr="00E85775">
        <w:t xml:space="preserve">Conformément à l’article R. 2192-15 du code de la commande publique, </w:t>
      </w:r>
      <w:r w:rsidR="000648C5" w:rsidRPr="00E85775">
        <w:t xml:space="preserve">la date de réception de la demande de paiement par </w:t>
      </w:r>
      <w:r w:rsidR="000648C5">
        <w:t xml:space="preserve">l’acheteur </w:t>
      </w:r>
      <w:r w:rsidR="000648C5" w:rsidRPr="00E85775">
        <w:t>correspond :</w:t>
      </w:r>
    </w:p>
    <w:p w14:paraId="11A85E09" w14:textId="77777777" w:rsidR="00E85775" w:rsidRPr="00E85775" w:rsidRDefault="00E85775" w:rsidP="00C7548A"/>
    <w:p w14:paraId="032C3393" w14:textId="77777777" w:rsidR="00E85775" w:rsidRPr="00E85775" w:rsidRDefault="00E85775" w:rsidP="00C7548A">
      <w:r w:rsidRPr="00E85775">
        <w:t>1° Lorsque les factures sont transmises par échange de données informatisé (EDI), à la date à laquelle le système d'information budgétaire et comptable de l'Etat horodate l'arrivée de la facture ;</w:t>
      </w:r>
    </w:p>
    <w:p w14:paraId="51C339A3" w14:textId="77777777" w:rsidR="00E85775" w:rsidRPr="00E85775" w:rsidRDefault="00E85775" w:rsidP="00C7548A"/>
    <w:p w14:paraId="4986F4A3" w14:textId="77777777" w:rsidR="00E85775" w:rsidRPr="00E85775" w:rsidRDefault="00E85775" w:rsidP="00C7548A">
      <w:r w:rsidRPr="00E85775">
        <w:t xml:space="preserve">2° Lorsque les factures sont transmises par le mode portail ou service, à la date de notification </w:t>
      </w:r>
      <w:r w:rsidR="005C51D5">
        <w:t>à l’acheteur</w:t>
      </w:r>
      <w:r w:rsidRPr="00E85775">
        <w:t xml:space="preserve"> du message électronique l'informant de la mise à disposition de la facture sur cette solution mutualisée.</w:t>
      </w:r>
    </w:p>
    <w:p w14:paraId="5963FA90" w14:textId="77777777" w:rsidR="00E85775" w:rsidRPr="00E85775" w:rsidRDefault="00E85775" w:rsidP="00C7548A"/>
    <w:p w14:paraId="6B904EFC" w14:textId="77777777" w:rsidR="00E85775" w:rsidRPr="008E3EB8" w:rsidRDefault="00E85775" w:rsidP="00C7548A">
      <w:pPr>
        <w:rPr>
          <w:u w:val="single"/>
        </w:rPr>
      </w:pPr>
      <w:r w:rsidRPr="008E3EB8">
        <w:rPr>
          <w:u w:val="single"/>
        </w:rPr>
        <w:t>Point de départ du délai de paiement des avances.</w:t>
      </w:r>
    </w:p>
    <w:p w14:paraId="10EEFC46" w14:textId="77777777" w:rsidR="003961CC" w:rsidRPr="00E85775" w:rsidRDefault="003961CC" w:rsidP="003961CC">
      <w:r w:rsidRPr="00E85775">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34029CD9" w14:textId="77777777" w:rsidR="00E85775" w:rsidRPr="00E85775" w:rsidRDefault="00E85775" w:rsidP="00C7548A"/>
    <w:p w14:paraId="6347FC82" w14:textId="77777777" w:rsidR="00E85775" w:rsidRPr="008E3EB8" w:rsidRDefault="00E85775" w:rsidP="00C7548A">
      <w:pPr>
        <w:rPr>
          <w:u w:val="single"/>
        </w:rPr>
      </w:pPr>
      <w:r w:rsidRPr="008E3EB8">
        <w:rPr>
          <w:u w:val="single"/>
        </w:rPr>
        <w:t xml:space="preserve">Point de départ pour les autres délais de paiement. </w:t>
      </w:r>
    </w:p>
    <w:p w14:paraId="619DBC95" w14:textId="7683B01A" w:rsidR="00E85775" w:rsidRPr="00E85775" w:rsidRDefault="00E85775" w:rsidP="00C7548A">
      <w:r w:rsidRPr="00E85775">
        <w:t xml:space="preserve">Le délai de paiement court à compter de la date de réception de la demande de paiement par </w:t>
      </w:r>
      <w:r w:rsidR="00A87FAB">
        <w:t>l’acheteur</w:t>
      </w:r>
      <w:r w:rsidRPr="00E85775">
        <w:t xml:space="preserve">. Toutefois, conformément à l’article R. 2192-17 du code de la commande publique, le délai de paiement court à compter de la date </w:t>
      </w:r>
      <w:r w:rsidR="00D21AC3">
        <w:t>de décision d’admission des prestations</w:t>
      </w:r>
      <w:r w:rsidRPr="00E85775">
        <w:t>, si cette date est postérieure à la date de réception de la demande de paiement.</w:t>
      </w:r>
    </w:p>
    <w:p w14:paraId="7B589AA2" w14:textId="77777777" w:rsidR="00E85775" w:rsidRPr="00E85775" w:rsidRDefault="00E85775" w:rsidP="00C7548A"/>
    <w:p w14:paraId="11313862" w14:textId="398B195B" w:rsidR="00E85775" w:rsidRPr="00E85775" w:rsidRDefault="00E85775" w:rsidP="00C7548A">
      <w:r w:rsidRPr="00E85775">
        <w:t>Pour le paiement des règlements partiels définitifs et du solde, conformément à l’article 11.</w:t>
      </w:r>
      <w:r w:rsidR="00F91CEE">
        <w:t>7</w:t>
      </w:r>
      <w:r w:rsidRPr="00E85775">
        <w:t xml:space="preserve">.1 du CCAG/PI, le titulaire ne peut envoyer la demande de paiement qu’à compter de la décision </w:t>
      </w:r>
      <w:r w:rsidR="00F91CEE">
        <w:t>d’admission</w:t>
      </w:r>
      <w:r w:rsidRPr="00E85775">
        <w:t xml:space="preserve"> des prestations.</w:t>
      </w:r>
    </w:p>
    <w:p w14:paraId="284CC113" w14:textId="77777777" w:rsidR="00E85775" w:rsidRPr="00E85775" w:rsidRDefault="00E85775" w:rsidP="00C7548A"/>
    <w:p w14:paraId="2397B598" w14:textId="690D6F20" w:rsidR="00E85775" w:rsidRPr="00E85775" w:rsidRDefault="003961CC" w:rsidP="000F7994">
      <w:pPr>
        <w:pStyle w:val="Titre2"/>
      </w:pPr>
      <w:bookmarkStart w:id="215" w:name="_Toc507666658"/>
      <w:bookmarkStart w:id="216" w:name="_Toc50109595"/>
      <w:bookmarkStart w:id="217" w:name="_Toc207979773"/>
      <w:r>
        <w:t>11.5.</w:t>
      </w:r>
      <w:r w:rsidR="00E85775" w:rsidRPr="00E85775">
        <w:t xml:space="preserve"> Ordonnateur et comptable assignataire.</w:t>
      </w:r>
      <w:bookmarkEnd w:id="215"/>
      <w:bookmarkEnd w:id="216"/>
      <w:bookmarkEnd w:id="217"/>
    </w:p>
    <w:p w14:paraId="0E1E4AD5" w14:textId="77777777" w:rsidR="00E85775" w:rsidRPr="00E85775" w:rsidRDefault="00E85775" w:rsidP="00C7548A"/>
    <w:p w14:paraId="3B299336" w14:textId="1B5B2E34" w:rsidR="004E2202" w:rsidRPr="00E85775" w:rsidRDefault="004E2202" w:rsidP="004E2202">
      <w:r w:rsidRPr="00E11696">
        <w:t>L’ordonnateur chargé d’émettre des demandes de paiement est le sous-directeur de la préfiguration de l’agence ministérielle de gestion (SDPAMG).</w:t>
      </w:r>
    </w:p>
    <w:p w14:paraId="4501638C" w14:textId="77777777" w:rsidR="00E85775" w:rsidRPr="00E85775" w:rsidRDefault="00E85775" w:rsidP="00C7548A"/>
    <w:p w14:paraId="6154BF09" w14:textId="77777777" w:rsidR="00E85775" w:rsidRPr="00E85775" w:rsidRDefault="00E85775" w:rsidP="00C7548A">
      <w:r w:rsidRPr="00E85775">
        <w:t>Le comptable assignataire chargé des paiements est l’agent comptable des services industriels de l’armement (ACSIA) – Immeuble Vendôme III – 11, rue du Rempart – 93196 Noisy-Le-Grand.</w:t>
      </w:r>
    </w:p>
    <w:p w14:paraId="0B31998F" w14:textId="77777777" w:rsidR="00E85775" w:rsidRPr="00E85775" w:rsidRDefault="00E85775" w:rsidP="00C7548A"/>
    <w:p w14:paraId="08DCBBE6" w14:textId="74A779C1" w:rsidR="00E85775" w:rsidRPr="00E85775" w:rsidRDefault="003961CC" w:rsidP="000F7994">
      <w:pPr>
        <w:pStyle w:val="Titre2"/>
      </w:pPr>
      <w:bookmarkStart w:id="218" w:name="_Toc507666659"/>
      <w:bookmarkStart w:id="219" w:name="_Toc50109596"/>
      <w:bookmarkStart w:id="220" w:name="_Toc207979774"/>
      <w:r>
        <w:t>11.6</w:t>
      </w:r>
      <w:r w:rsidR="00E85775" w:rsidRPr="00E85775">
        <w:t>. Cession et nantissement de créance.</w:t>
      </w:r>
      <w:bookmarkEnd w:id="218"/>
      <w:bookmarkEnd w:id="219"/>
      <w:bookmarkEnd w:id="220"/>
    </w:p>
    <w:p w14:paraId="17211BD5" w14:textId="77777777" w:rsidR="00E85775" w:rsidRPr="00E85775" w:rsidRDefault="00E85775" w:rsidP="00C7548A"/>
    <w:p w14:paraId="1CE20CFB" w14:textId="6F8E5285" w:rsidR="00E055C3" w:rsidRPr="00E85775" w:rsidRDefault="00E85775" w:rsidP="00C7548A">
      <w:r w:rsidRPr="00E85775">
        <w:t>Le titulaire peut être admis au bénéfice du régime institué par les articles</w:t>
      </w:r>
      <w:r w:rsidRPr="00E85775">
        <w:rPr>
          <w:b/>
        </w:rPr>
        <w:t xml:space="preserve"> </w:t>
      </w:r>
      <w:r w:rsidRPr="00E85775">
        <w:t xml:space="preserve">R. 2191-45 à R.2195-63 du code de la commande publique concernant la cession ou au nantissement des créances. La personne habilitée à fournir les renseignements visés à l’article R. 2191-60 du code est </w:t>
      </w:r>
      <w:r w:rsidR="00A87FAB">
        <w:t>l’acheteur</w:t>
      </w:r>
      <w:r w:rsidRPr="00E85775">
        <w:t>.</w:t>
      </w:r>
    </w:p>
    <w:p w14:paraId="599BD288" w14:textId="77777777" w:rsidR="00E85775" w:rsidRPr="00E85775" w:rsidRDefault="00E85775" w:rsidP="00C7548A"/>
    <w:p w14:paraId="49E882B3" w14:textId="1A0DE637" w:rsidR="00E85775" w:rsidRPr="00E85775" w:rsidRDefault="003961CC" w:rsidP="000F7994">
      <w:pPr>
        <w:pStyle w:val="Titre2"/>
      </w:pPr>
      <w:bookmarkStart w:id="221" w:name="_Toc507666660"/>
      <w:bookmarkStart w:id="222" w:name="_Toc50109597"/>
      <w:bookmarkStart w:id="223" w:name="_Toc207979775"/>
      <w:r>
        <w:t>11.7</w:t>
      </w:r>
      <w:r w:rsidR="00E85775" w:rsidRPr="00E85775">
        <w:t>. Paiement des sous-traitants.</w:t>
      </w:r>
      <w:bookmarkEnd w:id="221"/>
      <w:bookmarkEnd w:id="222"/>
      <w:bookmarkEnd w:id="223"/>
    </w:p>
    <w:p w14:paraId="77EAD7F4" w14:textId="77777777" w:rsidR="00E85775" w:rsidRPr="00E85775" w:rsidRDefault="00E85775" w:rsidP="00C7548A"/>
    <w:p w14:paraId="076B9E0F" w14:textId="77777777" w:rsidR="00E85775" w:rsidRPr="002D4C07" w:rsidRDefault="00E85775" w:rsidP="009F0863">
      <w:pPr>
        <w:pStyle w:val="Paragraphedeliste"/>
        <w:numPr>
          <w:ilvl w:val="0"/>
          <w:numId w:val="10"/>
        </w:numPr>
        <w:spacing w:before="0" w:line="240" w:lineRule="auto"/>
        <w:ind w:left="714" w:hanging="357"/>
        <w:contextualSpacing w:val="0"/>
        <w:rPr>
          <w:u w:val="single"/>
        </w:rPr>
      </w:pPr>
      <w:bookmarkStart w:id="224" w:name="_Toc455567694"/>
      <w:r w:rsidRPr="002D4C07">
        <w:rPr>
          <w:u w:val="single"/>
        </w:rPr>
        <w:t xml:space="preserve">Paiement direct : paiement à 30 jours, dans les conditions précisées </w:t>
      </w:r>
      <w:bookmarkEnd w:id="224"/>
      <w:r w:rsidRPr="002D4C07">
        <w:rPr>
          <w:u w:val="single"/>
        </w:rPr>
        <w:t>aux articles R.2193-10 à R.2193-16 du code de la commande publique</w:t>
      </w:r>
      <w:r w:rsidRPr="002D4C07">
        <w:rPr>
          <w:b/>
          <w:u w:val="single"/>
        </w:rPr>
        <w:t xml:space="preserve"> </w:t>
      </w:r>
    </w:p>
    <w:p w14:paraId="469B6703" w14:textId="77777777" w:rsidR="00E85775" w:rsidRPr="00E85775" w:rsidRDefault="00E85775" w:rsidP="00C7548A"/>
    <w:p w14:paraId="52CBB575" w14:textId="77777777" w:rsidR="00E85775" w:rsidRPr="00E85775" w:rsidRDefault="00E85775" w:rsidP="00C7548A">
      <w:r w:rsidRPr="00E85775">
        <w:t>Seul le sous-traitant direct a droit au paiement direct. Le paiement direct du sous-traitant par le maître de l'ouvrage est obligatoire à partir de 600 € TTC.</w:t>
      </w:r>
    </w:p>
    <w:p w14:paraId="6BFD1B66" w14:textId="77777777" w:rsidR="00E85775" w:rsidRPr="00E85775" w:rsidRDefault="00E85775" w:rsidP="00C7548A">
      <w:pPr>
        <w:rPr>
          <w:strike/>
        </w:rPr>
      </w:pPr>
      <w:r w:rsidRPr="00E85775">
        <w:t xml:space="preserve">Le sous-traitant bénéficie de l'avance dans les conditions de l’article 11.1.1 supra. </w:t>
      </w:r>
    </w:p>
    <w:p w14:paraId="68110659" w14:textId="77777777" w:rsidR="00E85775" w:rsidRPr="00E85775" w:rsidRDefault="00E85775" w:rsidP="00C7548A"/>
    <w:p w14:paraId="702D6C8E" w14:textId="77777777" w:rsidR="00E85775" w:rsidRPr="002D4C07" w:rsidRDefault="00E85775" w:rsidP="009F0863">
      <w:pPr>
        <w:pStyle w:val="Paragraphedeliste"/>
        <w:numPr>
          <w:ilvl w:val="0"/>
          <w:numId w:val="10"/>
        </w:numPr>
        <w:spacing w:before="0" w:line="240" w:lineRule="auto"/>
        <w:ind w:left="714" w:hanging="357"/>
        <w:contextualSpacing w:val="0"/>
        <w:rPr>
          <w:u w:val="single"/>
        </w:rPr>
      </w:pPr>
      <w:bookmarkStart w:id="225" w:name="_Toc455567695"/>
      <w:r w:rsidRPr="002D4C07">
        <w:rPr>
          <w:u w:val="single"/>
        </w:rPr>
        <w:lastRenderedPageBreak/>
        <w:t>Paiement indirect : obligation d'une caution personnelle et solidaire</w:t>
      </w:r>
      <w:bookmarkEnd w:id="225"/>
      <w:r w:rsidRPr="002D4C07">
        <w:rPr>
          <w:u w:val="single"/>
        </w:rPr>
        <w:t>.</w:t>
      </w:r>
    </w:p>
    <w:p w14:paraId="19AA76D4" w14:textId="77777777" w:rsidR="00E85775" w:rsidRPr="00E85775" w:rsidRDefault="00E85775" w:rsidP="00C7548A"/>
    <w:p w14:paraId="3B9D6494" w14:textId="77777777" w:rsidR="00E85775" w:rsidRPr="00E85775" w:rsidRDefault="00E85775" w:rsidP="00C7548A">
      <w:r w:rsidRPr="00E85775">
        <w:t>Si le sous-traitant ne bénéficie pas du paiement direct (montant sous-traité inférieur à 600 € TTC ou sous-traitant de second rang), c'est l'entrepreneur principal et non le maître de l'ouvrage qui paie le sous-traitant.</w:t>
      </w:r>
    </w:p>
    <w:p w14:paraId="20285922" w14:textId="77777777" w:rsidR="00E85775" w:rsidRPr="00E85775" w:rsidRDefault="00E85775" w:rsidP="00C7548A"/>
    <w:p w14:paraId="46F03F40" w14:textId="77777777" w:rsidR="00E85775" w:rsidRPr="00E85775" w:rsidRDefault="00E85775" w:rsidP="00C7548A">
      <w:r w:rsidRPr="00E85775">
        <w:t xml:space="preserve">L'entrepreneur principal est tenu de délivrer au sous-traitant une caution personnelle et solidaire ou une délégation de paiement, dans les conditions précisées à l'article 14 de la loi </w:t>
      </w:r>
      <w:r w:rsidRPr="003961CC">
        <w:t>n° 75-1334</w:t>
      </w:r>
      <w:r w:rsidRPr="00E85775">
        <w:rPr>
          <w:b/>
        </w:rPr>
        <w:t xml:space="preserve"> </w:t>
      </w:r>
      <w:r w:rsidRPr="00E85775">
        <w:t>du 31 décembre 1975 relative à la sous-traitance.</w:t>
      </w:r>
    </w:p>
    <w:p w14:paraId="09B7422F" w14:textId="77777777" w:rsidR="00E85775" w:rsidRPr="00E85775" w:rsidRDefault="00E85775" w:rsidP="00C7548A"/>
    <w:p w14:paraId="5672C6EF" w14:textId="77777777" w:rsidR="00E85775" w:rsidRPr="002D4C07" w:rsidRDefault="00E85775" w:rsidP="009F0863">
      <w:pPr>
        <w:pStyle w:val="Paragraphedeliste"/>
        <w:numPr>
          <w:ilvl w:val="0"/>
          <w:numId w:val="10"/>
        </w:numPr>
        <w:spacing w:before="0" w:line="240" w:lineRule="auto"/>
        <w:ind w:left="714" w:hanging="357"/>
        <w:contextualSpacing w:val="0"/>
        <w:rPr>
          <w:u w:val="single"/>
        </w:rPr>
      </w:pPr>
      <w:bookmarkStart w:id="226" w:name="_Toc455567696"/>
      <w:r w:rsidRPr="002D4C07">
        <w:rPr>
          <w:u w:val="single"/>
        </w:rPr>
        <w:t>Nantissement ou cession de créance</w:t>
      </w:r>
      <w:bookmarkEnd w:id="226"/>
      <w:r w:rsidRPr="002D4C07">
        <w:rPr>
          <w:u w:val="single"/>
        </w:rPr>
        <w:t>.</w:t>
      </w:r>
    </w:p>
    <w:p w14:paraId="0C46B211" w14:textId="77777777" w:rsidR="00E85775" w:rsidRPr="00E85775" w:rsidRDefault="00E85775" w:rsidP="00C7548A"/>
    <w:p w14:paraId="0F29F797" w14:textId="77777777" w:rsidR="00E85775" w:rsidRDefault="00E85775" w:rsidP="00C7548A">
      <w:r w:rsidRPr="00E85775">
        <w:t xml:space="preserve">Le sous-traitant admis au paiement direct peut céder ou nantir, à concurrence du montant des prestations qui lui sont réglées directement, tout ou partie de sa créance. Si la sous-traitance est déclarée en cours </w:t>
      </w:r>
      <w:r w:rsidR="00632341">
        <w:t>de l’accord-cadre</w:t>
      </w:r>
      <w:r w:rsidRPr="00E85775">
        <w:t xml:space="preserve"> l'exemplaire pour nantissement doit être restitué pour être modifié.</w:t>
      </w:r>
    </w:p>
    <w:p w14:paraId="6BC08EF1" w14:textId="5C8FD33F" w:rsidR="00385307" w:rsidRPr="00C849CA" w:rsidRDefault="00E85775" w:rsidP="00C849CA">
      <w:pPr>
        <w:pStyle w:val="Titre1"/>
        <w:keepLines/>
        <w:numPr>
          <w:ilvl w:val="0"/>
          <w:numId w:val="0"/>
        </w:numPr>
        <w:spacing w:before="240" w:after="0"/>
        <w:rPr>
          <w:rFonts w:ascii="Arial" w:hAnsi="Arial" w:cs="Arial"/>
          <w:sz w:val="22"/>
          <w:szCs w:val="22"/>
        </w:rPr>
      </w:pPr>
      <w:bookmarkStart w:id="227" w:name="_Toc507666661"/>
      <w:bookmarkStart w:id="228" w:name="_Toc50109598"/>
      <w:bookmarkStart w:id="229" w:name="_Toc207979776"/>
      <w:r w:rsidRPr="00C849CA">
        <w:rPr>
          <w:rFonts w:ascii="Arial" w:hAnsi="Arial" w:cs="Arial"/>
          <w:sz w:val="22"/>
          <w:szCs w:val="22"/>
        </w:rPr>
        <w:t>ARTICLE 12 – PÉNALITÉS.</w:t>
      </w:r>
      <w:bookmarkEnd w:id="227"/>
      <w:bookmarkEnd w:id="228"/>
      <w:bookmarkEnd w:id="229"/>
    </w:p>
    <w:bookmarkEnd w:id="207"/>
    <w:bookmarkEnd w:id="208"/>
    <w:p w14:paraId="51A666AA" w14:textId="4A1AE480" w:rsidR="00385307" w:rsidRDefault="00385307" w:rsidP="00093459">
      <w:pPr>
        <w:pStyle w:val="Titre"/>
      </w:pPr>
    </w:p>
    <w:p w14:paraId="1FF6B0F4" w14:textId="77777777" w:rsidR="004A4EE9" w:rsidRPr="004A4EE9" w:rsidRDefault="004A4EE9" w:rsidP="004A4EE9">
      <w:pPr>
        <w:pStyle w:val="Titre2"/>
      </w:pPr>
      <w:bookmarkStart w:id="230" w:name="_Toc207979777"/>
      <w:r>
        <w:t xml:space="preserve">12.1. </w:t>
      </w:r>
      <w:r w:rsidRPr="002B649C">
        <w:t xml:space="preserve">Modalités de mise en </w:t>
      </w:r>
      <w:r>
        <w:t>œuvre des pénalités pour retard</w:t>
      </w:r>
      <w:bookmarkEnd w:id="230"/>
    </w:p>
    <w:p w14:paraId="2E316851" w14:textId="77777777" w:rsidR="004A4EE9" w:rsidRPr="004A4EE9" w:rsidRDefault="004A4EE9" w:rsidP="004A4EE9"/>
    <w:p w14:paraId="77BD5A1A" w14:textId="6BBCDC2A" w:rsidR="00385307" w:rsidRPr="00E85775" w:rsidRDefault="00385307" w:rsidP="00385307">
      <w:r>
        <w:t xml:space="preserve">Par dérogation à l’article </w:t>
      </w:r>
      <w:r w:rsidRPr="00A161D0">
        <w:t>14</w:t>
      </w:r>
      <w:r>
        <w:t>.1</w:t>
      </w:r>
      <w:r w:rsidRPr="00A161D0">
        <w:t xml:space="preserve"> du CCAG/PI, lorsque </w:t>
      </w:r>
      <w:r w:rsidRPr="00E85775">
        <w:t>les délais contractuels sont dépassés, le titulaire encourt, sans mise en demeure préalable, des pénalités de retard.</w:t>
      </w:r>
    </w:p>
    <w:p w14:paraId="19992649" w14:textId="3BB0B486" w:rsidR="009E43F0" w:rsidRPr="009E79BF" w:rsidRDefault="009E43F0" w:rsidP="009E43F0">
      <w:pPr>
        <w:rPr>
          <w:rFonts w:cs="Arial"/>
        </w:rPr>
      </w:pPr>
      <w:bookmarkStart w:id="231" w:name="_Toc228779041"/>
      <w:bookmarkStart w:id="232" w:name="_Toc293670195"/>
    </w:p>
    <w:p w14:paraId="235E84E1" w14:textId="1DFCE433" w:rsidR="009E43F0" w:rsidRPr="009E79BF" w:rsidRDefault="009E43F0" w:rsidP="009E43F0">
      <w:pPr>
        <w:rPr>
          <w:rFonts w:cs="Arial"/>
        </w:rPr>
      </w:pPr>
      <w:r w:rsidRPr="009E79BF">
        <w:rPr>
          <w:rFonts w:cs="Arial"/>
        </w:rPr>
        <w:t xml:space="preserve">Le titulaire est informé du montant des pénalités qu’il encourt par un courrier avec accusé de réception du </w:t>
      </w:r>
      <w:r w:rsidR="00385307">
        <w:t xml:space="preserve">bureau </w:t>
      </w:r>
      <w:r w:rsidR="007D6390">
        <w:t>finance</w:t>
      </w:r>
      <w:r w:rsidR="00385307">
        <w:t>s</w:t>
      </w:r>
      <w:r w:rsidR="007D6390">
        <w:t xml:space="preserve"> </w:t>
      </w:r>
      <w:r w:rsidR="001055E1" w:rsidRPr="00E85775">
        <w:t>de la sous-direction</w:t>
      </w:r>
      <w:r w:rsidR="001055E1">
        <w:t xml:space="preserve"> de la préfiguration de l’agence ministérielle de gestion</w:t>
      </w:r>
      <w:r w:rsidRPr="009E79BF">
        <w:rPr>
          <w:rFonts w:cs="Arial"/>
        </w:rPr>
        <w:t xml:space="preserve">. Le titulaire peut présenter des observations </w:t>
      </w:r>
      <w:r w:rsidR="001055E1">
        <w:rPr>
          <w:rFonts w:cs="Arial"/>
        </w:rPr>
        <w:t>à l’acheteur</w:t>
      </w:r>
      <w:r w:rsidRPr="009E79BF">
        <w:rPr>
          <w:rFonts w:cs="Arial"/>
        </w:rPr>
        <w:t xml:space="preserve"> dans un délai de deux mois à compter de la réception de ce courrier. </w:t>
      </w:r>
      <w:r w:rsidR="0026020D" w:rsidRPr="0026020D">
        <w:rPr>
          <w:rFonts w:cs="Arial"/>
        </w:rPr>
        <w:t>A défaut</w:t>
      </w:r>
      <w:r w:rsidR="00385307">
        <w:rPr>
          <w:rFonts w:cs="Arial"/>
        </w:rPr>
        <w:t xml:space="preserve"> de réponse</w:t>
      </w:r>
      <w:r w:rsidR="0026020D" w:rsidRPr="0026020D">
        <w:rPr>
          <w:rFonts w:cs="Arial"/>
        </w:rPr>
        <w:t>, l’application des pénalités est réputée acceptée.</w:t>
      </w:r>
    </w:p>
    <w:p w14:paraId="7C1C74B7" w14:textId="77777777" w:rsidR="009E43F0" w:rsidRPr="009E79BF" w:rsidRDefault="009E43F0" w:rsidP="009E43F0">
      <w:pPr>
        <w:rPr>
          <w:rFonts w:cs="Arial"/>
        </w:rPr>
      </w:pPr>
    </w:p>
    <w:p w14:paraId="6AB68D89" w14:textId="77777777" w:rsidR="009E43F0" w:rsidRPr="009E79BF" w:rsidRDefault="001055E1" w:rsidP="00EC01B0">
      <w:pPr>
        <w:spacing w:after="120"/>
        <w:rPr>
          <w:rFonts w:cs="Arial"/>
        </w:rPr>
      </w:pPr>
      <w:r>
        <w:rPr>
          <w:rFonts w:cs="Arial"/>
        </w:rPr>
        <w:t>C</w:t>
      </w:r>
      <w:r w:rsidR="009E43F0" w:rsidRPr="009E79BF">
        <w:rPr>
          <w:rFonts w:cs="Arial"/>
        </w:rPr>
        <w:t>ette pénalité est calculée par application de la formule :</w:t>
      </w:r>
    </w:p>
    <w:p w14:paraId="7860A0C0" w14:textId="77777777" w:rsidR="009E43F0" w:rsidRPr="009E79BF" w:rsidRDefault="009E43F0" w:rsidP="009E43F0">
      <w:pPr>
        <w:jc w:val="center"/>
        <w:rPr>
          <w:rFonts w:cs="Arial"/>
        </w:rPr>
      </w:pPr>
      <w:r w:rsidRPr="009E79BF">
        <w:rPr>
          <w:rFonts w:cs="Arial"/>
        </w:rPr>
        <w:t>P = V x R / 1000</w:t>
      </w:r>
    </w:p>
    <w:p w14:paraId="2E03D9BE" w14:textId="77777777" w:rsidR="009E43F0" w:rsidRPr="009E79BF" w:rsidRDefault="009E43F0" w:rsidP="009E43F0">
      <w:pPr>
        <w:rPr>
          <w:rFonts w:cs="Arial"/>
        </w:rPr>
      </w:pPr>
      <w:r w:rsidRPr="009E79BF">
        <w:rPr>
          <w:rFonts w:cs="Arial"/>
        </w:rPr>
        <w:t>Dans laquelle :</w:t>
      </w:r>
    </w:p>
    <w:p w14:paraId="64C50864" w14:textId="25532BFF" w:rsidR="009E43F0" w:rsidRPr="00377A0B" w:rsidRDefault="009E43F0" w:rsidP="009F0863">
      <w:pPr>
        <w:pStyle w:val="Paragraphedeliste"/>
        <w:numPr>
          <w:ilvl w:val="0"/>
          <w:numId w:val="20"/>
        </w:numPr>
        <w:spacing w:line="240" w:lineRule="auto"/>
        <w:ind w:left="284" w:hanging="284"/>
        <w:contextualSpacing w:val="0"/>
        <w:rPr>
          <w:rFonts w:cs="Arial"/>
        </w:rPr>
      </w:pPr>
      <w:r w:rsidRPr="00377A0B">
        <w:rPr>
          <w:rFonts w:cs="Arial"/>
        </w:rPr>
        <w:t>P = le montant de la pénalité ;</w:t>
      </w:r>
    </w:p>
    <w:p w14:paraId="75DFD145" w14:textId="6B529E43" w:rsidR="009E43F0" w:rsidRPr="00377A0B" w:rsidRDefault="009E43F0" w:rsidP="009F0863">
      <w:pPr>
        <w:pStyle w:val="Paragraphedeliste"/>
        <w:numPr>
          <w:ilvl w:val="0"/>
          <w:numId w:val="20"/>
        </w:numPr>
        <w:spacing w:line="240" w:lineRule="auto"/>
        <w:ind w:left="284" w:hanging="284"/>
        <w:contextualSpacing w:val="0"/>
        <w:rPr>
          <w:rFonts w:cs="Arial"/>
        </w:rPr>
      </w:pPr>
      <w:r w:rsidRPr="00377A0B">
        <w:rPr>
          <w:rFonts w:cs="Arial"/>
        </w:rPr>
        <w:t xml:space="preserve">V = la valeur des prestations sur laquelle est calculée la pénalité, cette valeur étant égale au montant </w:t>
      </w:r>
      <w:r w:rsidR="001055E1" w:rsidRPr="00F7248A">
        <w:t>du lot de liquidation financière concerné</w:t>
      </w:r>
      <w:r w:rsidRPr="00377A0B">
        <w:rPr>
          <w:rFonts w:cs="Arial"/>
        </w:rPr>
        <w:t>, hors variations de prix et hors d</w:t>
      </w:r>
      <w:r w:rsidR="001055E1" w:rsidRPr="00377A0B">
        <w:rPr>
          <w:rFonts w:cs="Arial"/>
        </w:rPr>
        <w:t>u champ d'application de la TVA ;</w:t>
      </w:r>
    </w:p>
    <w:p w14:paraId="5DA6DE3F" w14:textId="28B31739" w:rsidR="004A4EE9" w:rsidRDefault="009E43F0" w:rsidP="009F0863">
      <w:pPr>
        <w:pStyle w:val="Paragraphedeliste"/>
        <w:numPr>
          <w:ilvl w:val="0"/>
          <w:numId w:val="20"/>
        </w:numPr>
        <w:spacing w:line="240" w:lineRule="auto"/>
        <w:ind w:left="284" w:hanging="284"/>
        <w:contextualSpacing w:val="0"/>
        <w:rPr>
          <w:rFonts w:cs="Arial"/>
        </w:rPr>
      </w:pPr>
      <w:r w:rsidRPr="00377A0B">
        <w:rPr>
          <w:rFonts w:cs="Arial"/>
        </w:rPr>
        <w:t>R = le nombre de jours de retard</w:t>
      </w:r>
      <w:r w:rsidR="001055E1" w:rsidRPr="00377A0B">
        <w:rPr>
          <w:rFonts w:cs="Arial"/>
        </w:rPr>
        <w:t xml:space="preserve"> calendaires.</w:t>
      </w:r>
    </w:p>
    <w:p w14:paraId="798EB2E1" w14:textId="0A266E33" w:rsidR="004A4EE9" w:rsidRDefault="004A4EE9" w:rsidP="004A4EE9">
      <w:pPr>
        <w:pStyle w:val="Paragraphedeliste"/>
        <w:ind w:left="0"/>
        <w:rPr>
          <w:rFonts w:cs="Arial"/>
        </w:rPr>
      </w:pPr>
    </w:p>
    <w:p w14:paraId="3F60D499" w14:textId="77777777" w:rsidR="004A4EE9" w:rsidRPr="004A4EE9" w:rsidRDefault="004A4EE9" w:rsidP="004A4EE9">
      <w:pPr>
        <w:pStyle w:val="Titre2"/>
      </w:pPr>
      <w:bookmarkStart w:id="233" w:name="_Toc167443737"/>
      <w:bookmarkStart w:id="234" w:name="_Toc207979778"/>
      <w:r w:rsidRPr="00FB10FC">
        <w:t>12.</w:t>
      </w:r>
      <w:r>
        <w:t>2</w:t>
      </w:r>
      <w:r w:rsidRPr="00FB10FC">
        <w:t>. Pénalités pour les livrables associés à la protection des données à caractère personnel</w:t>
      </w:r>
      <w:bookmarkEnd w:id="233"/>
      <w:bookmarkEnd w:id="234"/>
    </w:p>
    <w:p w14:paraId="3B5CFBF3" w14:textId="74182FF6" w:rsidR="004A4EE9" w:rsidRDefault="004A4EE9" w:rsidP="004A4EE9">
      <w:pPr>
        <w:spacing w:before="120"/>
        <w:rPr>
          <w:rFonts w:cs="Arial"/>
        </w:rPr>
      </w:pPr>
      <w:r w:rsidRPr="00910A55">
        <w:t>Par dérogation à l’article 14 du CCAG/PI, une pénalité de cinquante (</w:t>
      </w:r>
      <w:r w:rsidRPr="00040FF9">
        <w:t>50) euros par jour calendaire est appliquée au titulaire, sans mise en demeure préalable, en cas de retard de livraison des livrables</w:t>
      </w:r>
      <w:r w:rsidRPr="00040FF9">
        <w:rPr>
          <w:rFonts w:eastAsia="Calibri" w:cs="Arial"/>
          <w:bCs/>
        </w:rPr>
        <w:t xml:space="preserve"> </w:t>
      </w:r>
      <w:r>
        <w:rPr>
          <w:rFonts w:eastAsia="Calibri" w:cs="Arial"/>
          <w:bCs/>
        </w:rPr>
        <w:t>F3</w:t>
      </w:r>
      <w:r w:rsidRPr="00FB10FC">
        <w:rPr>
          <w:rFonts w:eastAsia="Calibri" w:cs="Arial"/>
          <w:bCs/>
        </w:rPr>
        <w:t>.</w:t>
      </w:r>
      <w:proofErr w:type="gramStart"/>
      <w:r w:rsidRPr="00FB10FC">
        <w:rPr>
          <w:rFonts w:eastAsia="Calibri" w:cs="Arial"/>
          <w:bCs/>
        </w:rPr>
        <w:t>y.z</w:t>
      </w:r>
      <w:proofErr w:type="gramEnd"/>
      <w:r w:rsidRPr="00FB10FC">
        <w:rPr>
          <w:rFonts w:eastAsia="Calibri" w:cs="Arial"/>
          <w:bCs/>
        </w:rPr>
        <w:t xml:space="preserve"> et F</w:t>
      </w:r>
      <w:r>
        <w:rPr>
          <w:rFonts w:eastAsia="Calibri" w:cs="Arial"/>
          <w:bCs/>
        </w:rPr>
        <w:t>4</w:t>
      </w:r>
      <w:r w:rsidRPr="00FB10FC">
        <w:rPr>
          <w:rFonts w:eastAsia="Calibri" w:cs="Arial"/>
          <w:bCs/>
        </w:rPr>
        <w:t xml:space="preserve">.y.z </w:t>
      </w:r>
      <w:r w:rsidRPr="00FB10FC">
        <w:t>définis</w:t>
      </w:r>
      <w:r w:rsidRPr="00910A55">
        <w:t xml:space="preserve"> dans le présent CCP valant AE.</w:t>
      </w:r>
    </w:p>
    <w:p w14:paraId="4CDECDCA" w14:textId="3629771E" w:rsidR="00E85775" w:rsidRPr="00C849CA" w:rsidRDefault="009E43F0" w:rsidP="00C849CA">
      <w:pPr>
        <w:pStyle w:val="Titre1"/>
        <w:keepLines/>
        <w:numPr>
          <w:ilvl w:val="0"/>
          <w:numId w:val="0"/>
        </w:numPr>
        <w:spacing w:before="240" w:after="0"/>
        <w:rPr>
          <w:rFonts w:ascii="Arial" w:hAnsi="Arial" w:cs="Arial"/>
          <w:sz w:val="22"/>
          <w:szCs w:val="22"/>
        </w:rPr>
      </w:pPr>
      <w:bookmarkStart w:id="235" w:name="_Ref193522352"/>
      <w:bookmarkStart w:id="236" w:name="_Ref194291093"/>
      <w:bookmarkStart w:id="237" w:name="_Toc228779079"/>
      <w:bookmarkStart w:id="238" w:name="_Toc293670209"/>
      <w:bookmarkStart w:id="239" w:name="_Toc507666666"/>
      <w:bookmarkStart w:id="240" w:name="_Toc50109603"/>
      <w:bookmarkStart w:id="241" w:name="_Toc207979779"/>
      <w:bookmarkEnd w:id="231"/>
      <w:bookmarkEnd w:id="232"/>
      <w:r w:rsidRPr="00C849CA">
        <w:rPr>
          <w:rFonts w:ascii="Arial" w:hAnsi="Arial" w:cs="Arial"/>
          <w:sz w:val="22"/>
          <w:szCs w:val="22"/>
        </w:rPr>
        <w:t>ARTICLE 13</w:t>
      </w:r>
      <w:r w:rsidR="00E85775" w:rsidRPr="00C849CA">
        <w:rPr>
          <w:rFonts w:ascii="Arial" w:hAnsi="Arial" w:cs="Arial"/>
          <w:sz w:val="22"/>
          <w:szCs w:val="22"/>
        </w:rPr>
        <w:t xml:space="preserve"> – GARANTIES</w:t>
      </w:r>
      <w:bookmarkEnd w:id="235"/>
      <w:bookmarkEnd w:id="236"/>
      <w:bookmarkEnd w:id="237"/>
      <w:bookmarkEnd w:id="238"/>
      <w:r w:rsidR="00E85775" w:rsidRPr="00C849CA">
        <w:rPr>
          <w:rFonts w:ascii="Arial" w:hAnsi="Arial" w:cs="Arial"/>
          <w:sz w:val="22"/>
          <w:szCs w:val="22"/>
        </w:rPr>
        <w:t>.</w:t>
      </w:r>
      <w:bookmarkEnd w:id="239"/>
      <w:bookmarkEnd w:id="240"/>
      <w:bookmarkEnd w:id="241"/>
    </w:p>
    <w:p w14:paraId="1A898C3C" w14:textId="77777777" w:rsidR="00E85775" w:rsidRPr="00E85775" w:rsidRDefault="00E85775" w:rsidP="00C7548A"/>
    <w:p w14:paraId="29D5A913" w14:textId="77777777" w:rsidR="00E85775" w:rsidRPr="00E85775" w:rsidRDefault="00E85775" w:rsidP="00C7548A">
      <w:r w:rsidRPr="00E85775">
        <w:t xml:space="preserve">Aucune retenue de garantie financière ne sera appliquée à </w:t>
      </w:r>
      <w:r w:rsidR="00B32CB7">
        <w:t>cet accord-cadre</w:t>
      </w:r>
      <w:r w:rsidRPr="00E85775">
        <w:t>.</w:t>
      </w:r>
    </w:p>
    <w:p w14:paraId="2A5BECD2" w14:textId="445B91F3" w:rsidR="00E85775" w:rsidRPr="00AE53DE" w:rsidRDefault="00E85775" w:rsidP="00AE53DE">
      <w:pPr>
        <w:pStyle w:val="Titre1"/>
        <w:keepLines/>
        <w:numPr>
          <w:ilvl w:val="0"/>
          <w:numId w:val="0"/>
        </w:numPr>
        <w:spacing w:before="240" w:after="0"/>
        <w:rPr>
          <w:rFonts w:ascii="Arial" w:hAnsi="Arial" w:cs="Arial"/>
          <w:sz w:val="22"/>
          <w:szCs w:val="22"/>
        </w:rPr>
      </w:pPr>
      <w:bookmarkStart w:id="242" w:name="_Toc50109604"/>
      <w:bookmarkStart w:id="243" w:name="_Toc207979780"/>
      <w:r w:rsidRPr="00677D22">
        <w:rPr>
          <w:rFonts w:ascii="Arial" w:hAnsi="Arial" w:cs="Arial"/>
          <w:sz w:val="22"/>
          <w:szCs w:val="22"/>
        </w:rPr>
        <w:t>ARTICLE 1</w:t>
      </w:r>
      <w:r w:rsidR="009E43F0" w:rsidRPr="00677D22">
        <w:rPr>
          <w:rFonts w:ascii="Arial" w:hAnsi="Arial" w:cs="Arial"/>
          <w:sz w:val="22"/>
          <w:szCs w:val="22"/>
        </w:rPr>
        <w:t>4</w:t>
      </w:r>
      <w:r w:rsidRPr="00677D22">
        <w:rPr>
          <w:rFonts w:ascii="Arial" w:hAnsi="Arial" w:cs="Arial"/>
          <w:sz w:val="22"/>
          <w:szCs w:val="22"/>
        </w:rPr>
        <w:t xml:space="preserve"> – CONFIDENTIALITÉ – MESURES DE SÉCURITÉ.</w:t>
      </w:r>
      <w:bookmarkEnd w:id="242"/>
      <w:bookmarkEnd w:id="243"/>
    </w:p>
    <w:p w14:paraId="3B289CE1" w14:textId="77777777" w:rsidR="00AE53DE" w:rsidRDefault="00AE53DE" w:rsidP="006D5A85">
      <w:bookmarkStart w:id="244" w:name="_Toc507666668"/>
      <w:bookmarkStart w:id="245" w:name="_Toc50109605"/>
    </w:p>
    <w:p w14:paraId="2398FD0C" w14:textId="73DE8887" w:rsidR="00E85775" w:rsidRPr="004A3041" w:rsidRDefault="00E85775" w:rsidP="000F7994">
      <w:pPr>
        <w:pStyle w:val="Titre2"/>
      </w:pPr>
      <w:bookmarkStart w:id="246" w:name="_Toc207979781"/>
      <w:r w:rsidRPr="004A3041">
        <w:t>1</w:t>
      </w:r>
      <w:r w:rsidR="009E43F0" w:rsidRPr="004A3041">
        <w:rPr>
          <w:lang w:val="fr-FR"/>
        </w:rPr>
        <w:t>4</w:t>
      </w:r>
      <w:r w:rsidRPr="004A3041">
        <w:t>.1. Confidentialité.</w:t>
      </w:r>
      <w:bookmarkEnd w:id="244"/>
      <w:bookmarkEnd w:id="245"/>
      <w:bookmarkEnd w:id="246"/>
    </w:p>
    <w:p w14:paraId="3F307726" w14:textId="77777777" w:rsidR="00E85775" w:rsidRPr="004A3041" w:rsidRDefault="00E85775" w:rsidP="00C7548A"/>
    <w:p w14:paraId="4157B2B7" w14:textId="77777777" w:rsidR="009E43F0" w:rsidRPr="004A3041" w:rsidRDefault="004B58F8" w:rsidP="009E43F0">
      <w:pPr>
        <w:rPr>
          <w:rFonts w:cs="Arial"/>
        </w:rPr>
      </w:pPr>
      <w:r w:rsidRPr="004A3041">
        <w:t xml:space="preserve">Il est fait application de l’article 5.1 </w:t>
      </w:r>
      <w:r w:rsidR="009E43F0" w:rsidRPr="004A3041">
        <w:rPr>
          <w:rFonts w:cs="Arial"/>
        </w:rPr>
        <w:t>du CCAG/PI.</w:t>
      </w:r>
    </w:p>
    <w:p w14:paraId="5C6FDC03" w14:textId="77777777" w:rsidR="00E85775" w:rsidRPr="004A3041" w:rsidRDefault="00E85775" w:rsidP="00C7548A"/>
    <w:p w14:paraId="4A584E82" w14:textId="3455C2AC" w:rsidR="00E85775" w:rsidRPr="004A3041" w:rsidRDefault="009E43F0" w:rsidP="000F7994">
      <w:pPr>
        <w:pStyle w:val="Titre2"/>
      </w:pPr>
      <w:bookmarkStart w:id="247" w:name="_Toc507666670"/>
      <w:bookmarkStart w:id="248" w:name="_Toc50109607"/>
      <w:bookmarkStart w:id="249" w:name="_Toc207979782"/>
      <w:r w:rsidRPr="004A3041">
        <w:t>14.2</w:t>
      </w:r>
      <w:r w:rsidR="00E85775" w:rsidRPr="004A3041">
        <w:t>. Protection du secret défense.</w:t>
      </w:r>
      <w:bookmarkEnd w:id="247"/>
      <w:bookmarkEnd w:id="248"/>
      <w:bookmarkEnd w:id="249"/>
    </w:p>
    <w:p w14:paraId="38C8AEE3" w14:textId="77777777" w:rsidR="00CE627B" w:rsidRPr="004A3041" w:rsidRDefault="00CE627B" w:rsidP="00CE627B">
      <w:pPr>
        <w:rPr>
          <w:lang w:val="x-none" w:eastAsia="x-none"/>
        </w:rPr>
      </w:pPr>
    </w:p>
    <w:p w14:paraId="05EA1642" w14:textId="4FE101FE" w:rsidR="00CE627B" w:rsidRPr="004A3041" w:rsidRDefault="004C4F4E" w:rsidP="00CE627B">
      <w:r w:rsidRPr="004A3041">
        <w:rPr>
          <w:b/>
        </w:rPr>
        <w:t>14</w:t>
      </w:r>
      <w:r w:rsidR="00377A0B" w:rsidRPr="004A3041">
        <w:rPr>
          <w:b/>
        </w:rPr>
        <w:t>.2</w:t>
      </w:r>
      <w:r w:rsidR="00CE627B" w:rsidRPr="004A3041">
        <w:rPr>
          <w:b/>
        </w:rPr>
        <w:t>.</w:t>
      </w:r>
      <w:r w:rsidRPr="004A3041">
        <w:rPr>
          <w:b/>
        </w:rPr>
        <w:t>1.</w:t>
      </w:r>
      <w:r w:rsidR="00CE627B" w:rsidRPr="004A3041">
        <w:t xml:space="preserve"> Dans le cadre des dispositions législatives et réglementaires en matière de protection du secret de la défense nationale, le titulaire s’engage à prendre toutes les mesures utiles pour assurer lors de l’exécution du contrat la protection des informations et supports classifiés qui peuvent être détenus dans le service, au profit duquel le contrat est exécuté ou dans tout lieu dans lequel ce contrat est exécuté.</w:t>
      </w:r>
    </w:p>
    <w:p w14:paraId="006482A6" w14:textId="77777777" w:rsidR="00CE627B" w:rsidRPr="004A3041" w:rsidRDefault="00CE627B" w:rsidP="00CE627B"/>
    <w:p w14:paraId="2AF4D546" w14:textId="7B8A0C9B" w:rsidR="00CE627B" w:rsidRPr="004A3041" w:rsidRDefault="004C4F4E" w:rsidP="00CE627B">
      <w:r w:rsidRPr="004A3041">
        <w:rPr>
          <w:b/>
        </w:rPr>
        <w:t>14.2.2.</w:t>
      </w:r>
      <w:r w:rsidRPr="004A3041">
        <w:t xml:space="preserve"> </w:t>
      </w:r>
      <w:r w:rsidR="00CE627B" w:rsidRPr="004A3041">
        <w:rPr>
          <w:b/>
        </w:rPr>
        <w:t>Le titulaire reconnaît :</w:t>
      </w:r>
    </w:p>
    <w:p w14:paraId="0DA6B666" w14:textId="77777777" w:rsidR="00CE627B" w:rsidRPr="004A3041" w:rsidRDefault="00CE627B" w:rsidP="00CE627B">
      <w:r w:rsidRPr="004A3041">
        <w:t>– avoir pris connaissance des articles 413-9 à 413-12 du code pénal ;</w:t>
      </w:r>
    </w:p>
    <w:p w14:paraId="4FB0325B" w14:textId="77777777" w:rsidR="00CE627B" w:rsidRPr="004A3041" w:rsidRDefault="00CE627B" w:rsidP="00CE627B">
      <w:r w:rsidRPr="004A3041">
        <w:t>– qu’il n’a pas à connaître ou détenir les informations couvertes par le secret de la défense nationale.</w:t>
      </w:r>
    </w:p>
    <w:p w14:paraId="3588BBF4" w14:textId="77777777" w:rsidR="00CE627B" w:rsidRPr="004A3041" w:rsidRDefault="00CE627B" w:rsidP="00CE627B"/>
    <w:p w14:paraId="599F52E2" w14:textId="613D917B" w:rsidR="00CE627B" w:rsidRPr="004A3041" w:rsidRDefault="004C4F4E" w:rsidP="00CE627B">
      <w:r w:rsidRPr="004A3041">
        <w:rPr>
          <w:b/>
        </w:rPr>
        <w:lastRenderedPageBreak/>
        <w:t>14.2.3.</w:t>
      </w:r>
      <w:r w:rsidRPr="004A3041">
        <w:t xml:space="preserve"> </w:t>
      </w:r>
      <w:r w:rsidR="00CE627B" w:rsidRPr="004A3041">
        <w:t>Le titulaire reconnaît avoir fait signer une déclaration individuelle à l’ensemble du personnel appelé, sous sa responsabilité à un titre quelconque, à intervenir pour son compte pour exécuter les prestations. Par ce document, le personnel atteste :</w:t>
      </w:r>
    </w:p>
    <w:p w14:paraId="503BA0BC" w14:textId="12438088" w:rsidR="00CE627B" w:rsidRPr="004A3041" w:rsidRDefault="00CE627B" w:rsidP="00E73B45">
      <w:pPr>
        <w:numPr>
          <w:ilvl w:val="0"/>
          <w:numId w:val="11"/>
        </w:numPr>
        <w:spacing w:before="60"/>
        <w:rPr>
          <w:rFonts w:eastAsia="Times New Roman"/>
        </w:rPr>
      </w:pPr>
      <w:proofErr w:type="gramStart"/>
      <w:r w:rsidRPr="004A3041">
        <w:rPr>
          <w:rFonts w:eastAsia="Times New Roman"/>
        </w:rPr>
        <w:t>avoir</w:t>
      </w:r>
      <w:proofErr w:type="gramEnd"/>
      <w:r w:rsidRPr="004A3041">
        <w:rPr>
          <w:rFonts w:eastAsia="Times New Roman"/>
        </w:rPr>
        <w:t xml:space="preserve"> pris connaissance </w:t>
      </w:r>
      <w:r w:rsidR="009F0863">
        <w:rPr>
          <w:rFonts w:eastAsia="Times New Roman"/>
        </w:rPr>
        <w:t>des articles 413-9 à 413-12 du code p</w:t>
      </w:r>
      <w:r w:rsidRPr="004A3041">
        <w:rPr>
          <w:rFonts w:eastAsia="Times New Roman"/>
        </w:rPr>
        <w:t>énal ;</w:t>
      </w:r>
    </w:p>
    <w:p w14:paraId="1A923713" w14:textId="77777777" w:rsidR="00CE627B" w:rsidRPr="004A3041" w:rsidRDefault="00CE627B" w:rsidP="00E73B45">
      <w:pPr>
        <w:numPr>
          <w:ilvl w:val="0"/>
          <w:numId w:val="11"/>
        </w:numPr>
        <w:spacing w:before="60"/>
        <w:ind w:left="714" w:hanging="357"/>
        <w:rPr>
          <w:rFonts w:eastAsia="Times New Roman"/>
        </w:rPr>
      </w:pPr>
      <w:proofErr w:type="gramStart"/>
      <w:r w:rsidRPr="004A3041">
        <w:rPr>
          <w:rFonts w:eastAsia="Times New Roman"/>
        </w:rPr>
        <w:t>qu’il</w:t>
      </w:r>
      <w:proofErr w:type="gramEnd"/>
      <w:r w:rsidRPr="004A3041">
        <w:rPr>
          <w:rFonts w:eastAsia="Times New Roman"/>
        </w:rPr>
        <w:t xml:space="preserve"> n’a pas, sous peine de poursuites pénales, à connaître ou détenir des informations couvertes par le secret de la défense nationale.</w:t>
      </w:r>
    </w:p>
    <w:p w14:paraId="76578128" w14:textId="77777777" w:rsidR="00CE627B" w:rsidRPr="004A3041" w:rsidRDefault="00CE627B" w:rsidP="00CE627B"/>
    <w:p w14:paraId="1602D0A6" w14:textId="5A61C313" w:rsidR="00CE627B" w:rsidRPr="004A3041" w:rsidRDefault="004C4F4E" w:rsidP="00CE627B">
      <w:r w:rsidRPr="004A3041">
        <w:rPr>
          <w:b/>
        </w:rPr>
        <w:t>14.2.4.</w:t>
      </w:r>
      <w:r w:rsidRPr="004A3041">
        <w:t xml:space="preserve"> </w:t>
      </w:r>
      <w:r w:rsidR="00CE627B" w:rsidRPr="004A3041">
        <w:t>Le titulaire s’engage à ce que seules les personnes ayant préalablement souscrit la déclaration précitée accèdent au lieu d’exécution des prestations.</w:t>
      </w:r>
    </w:p>
    <w:p w14:paraId="050B2030" w14:textId="77777777" w:rsidR="00CE627B" w:rsidRPr="004A3041" w:rsidRDefault="00CE627B" w:rsidP="00CE627B"/>
    <w:p w14:paraId="16DE878A" w14:textId="54D887F0" w:rsidR="00CE627B" w:rsidRPr="004A3041" w:rsidRDefault="004C4F4E" w:rsidP="00CE627B">
      <w:r w:rsidRPr="004A3041">
        <w:rPr>
          <w:b/>
        </w:rPr>
        <w:t>14.2.5.</w:t>
      </w:r>
      <w:r w:rsidRPr="004A3041">
        <w:t xml:space="preserve"> </w:t>
      </w:r>
      <w:r w:rsidR="00CE627B" w:rsidRPr="004A3041">
        <w:t xml:space="preserve">Le titulaire s’engage à remettre à l’autorité contractante représentée </w:t>
      </w:r>
      <w:r w:rsidR="00CE627B" w:rsidRPr="004A3041">
        <w:rPr>
          <w:color w:val="000000" w:themeColor="text1"/>
        </w:rPr>
        <w:t xml:space="preserve">par l’officier de sécurité du service désigné à l’article 5.1.2 du présent document la ou les déclarations individuelles ci-dessus </w:t>
      </w:r>
      <w:r w:rsidR="00CE627B" w:rsidRPr="004A3041">
        <w:t>avant tout accès du personnel concerné au lieu d’exécution des prestations.</w:t>
      </w:r>
    </w:p>
    <w:p w14:paraId="72027227" w14:textId="77777777" w:rsidR="00CE627B" w:rsidRPr="004A3041" w:rsidRDefault="00CE627B" w:rsidP="00CE627B"/>
    <w:p w14:paraId="62E224C6" w14:textId="0DC87C25" w:rsidR="00CE627B" w:rsidRPr="004A3041" w:rsidRDefault="004C4F4E" w:rsidP="00CE627B">
      <w:r w:rsidRPr="004A3041">
        <w:rPr>
          <w:b/>
        </w:rPr>
        <w:t>14.2.6.</w:t>
      </w:r>
      <w:r w:rsidRPr="004A3041">
        <w:t xml:space="preserve"> </w:t>
      </w:r>
      <w:r w:rsidR="00CE627B" w:rsidRPr="004A3041">
        <w:t>Il ne peut être dérogé aux prescriptions ci-dessus, y compris en cas de remplacement inopiné, fortuit ou même urgent d’un personnel du titulaire.</w:t>
      </w:r>
    </w:p>
    <w:p w14:paraId="18A99B45" w14:textId="77777777" w:rsidR="00CE627B" w:rsidRPr="004A3041" w:rsidRDefault="00CE627B" w:rsidP="00CE627B"/>
    <w:p w14:paraId="3DB669A7" w14:textId="22FDE330" w:rsidR="00CE627B" w:rsidRPr="004A3041" w:rsidRDefault="004C4F4E" w:rsidP="00CE627B">
      <w:r w:rsidRPr="004A3041">
        <w:rPr>
          <w:b/>
        </w:rPr>
        <w:t>14.2.7.</w:t>
      </w:r>
      <w:r w:rsidRPr="004A3041">
        <w:t xml:space="preserve"> </w:t>
      </w:r>
      <w:r w:rsidR="00CE627B" w:rsidRPr="004A3041">
        <w:t>Le non-respect ou l’inobservation par le titulaire de ces mesures de sécurité, même dans les cas où elles résultent d’une imprudence ou d’une négligence, peut entraîner le prononcé d’une sanction contractuelle, sans préjudice des sanctions pénales.</w:t>
      </w:r>
    </w:p>
    <w:p w14:paraId="19FFFF5E" w14:textId="77777777" w:rsidR="00CE627B" w:rsidRPr="004A3041" w:rsidRDefault="00CE627B" w:rsidP="00CE627B"/>
    <w:p w14:paraId="0CF46882" w14:textId="2CAB29B2" w:rsidR="00CE627B" w:rsidRPr="004A3041" w:rsidRDefault="00CE627B" w:rsidP="00CE627B">
      <w:pPr>
        <w:pStyle w:val="Titre2"/>
        <w:rPr>
          <w:lang w:val="fr-FR"/>
        </w:rPr>
      </w:pPr>
      <w:bookmarkStart w:id="250" w:name="_Toc507666671"/>
      <w:bookmarkStart w:id="251" w:name="_Toc50109608"/>
      <w:bookmarkStart w:id="252" w:name="_Toc94694226"/>
      <w:bookmarkStart w:id="253" w:name="_Toc207979783"/>
      <w:r w:rsidRPr="004A3041">
        <w:t>1</w:t>
      </w:r>
      <w:r w:rsidR="009600BE" w:rsidRPr="004A3041">
        <w:rPr>
          <w:lang w:val="fr-FR"/>
        </w:rPr>
        <w:t>4</w:t>
      </w:r>
      <w:r w:rsidRPr="004A3041">
        <w:t>.3.</w:t>
      </w:r>
      <w:bookmarkEnd w:id="250"/>
      <w:bookmarkEnd w:id="251"/>
      <w:r w:rsidRPr="004A3041">
        <w:rPr>
          <w:lang w:val="fr-FR"/>
        </w:rPr>
        <w:t xml:space="preserve"> Dispositions relatives à l’accès aux emprises</w:t>
      </w:r>
      <w:bookmarkEnd w:id="252"/>
      <w:bookmarkEnd w:id="253"/>
    </w:p>
    <w:p w14:paraId="3D6B67E8" w14:textId="1D0D0694" w:rsidR="00194E9B" w:rsidRPr="004A3041" w:rsidRDefault="00194E9B" w:rsidP="00194E9B">
      <w:pPr>
        <w:rPr>
          <w:lang w:eastAsia="x-none"/>
        </w:rPr>
      </w:pPr>
    </w:p>
    <w:p w14:paraId="209FFE96" w14:textId="65111E7A" w:rsidR="00474D0C" w:rsidRPr="004A3041" w:rsidRDefault="00194E9B" w:rsidP="00474D0C">
      <w:pPr>
        <w:pStyle w:val="Titre6"/>
      </w:pPr>
      <w:bookmarkStart w:id="254" w:name="_Toc89782031"/>
      <w:bookmarkStart w:id="255" w:name="_Toc94875166"/>
      <w:r w:rsidRPr="004A3041">
        <w:t>14.3.1</w:t>
      </w:r>
      <w:r w:rsidRPr="004A3041">
        <w:rPr>
          <w:lang w:val="fr-FR"/>
        </w:rPr>
        <w:t>.</w:t>
      </w:r>
      <w:r w:rsidRPr="004A3041">
        <w:t xml:space="preserve"> Conditions d’accès aux locaux de la personne publique</w:t>
      </w:r>
      <w:bookmarkEnd w:id="254"/>
      <w:bookmarkEnd w:id="255"/>
      <w:r w:rsidRPr="004A3041">
        <w:t xml:space="preserve"> </w:t>
      </w:r>
    </w:p>
    <w:p w14:paraId="1D299BB6" w14:textId="77777777" w:rsidR="00474D0C" w:rsidRPr="004A3041" w:rsidRDefault="00474D0C" w:rsidP="00474D0C">
      <w:pPr>
        <w:rPr>
          <w:rFonts w:cs="Arial"/>
        </w:rPr>
      </w:pPr>
      <w:r w:rsidRPr="004A3041">
        <w:rPr>
          <w:rFonts w:cs="Arial"/>
        </w:rPr>
        <w:t xml:space="preserve">Le titulaire reconnait avoir pris connaissance que certains lieux d’exécution sont affectés à l’autorité militaire ou placés sous son contrôle. </w:t>
      </w:r>
    </w:p>
    <w:p w14:paraId="60475FF8" w14:textId="77777777" w:rsidR="00474D0C" w:rsidRPr="004A3041" w:rsidRDefault="00474D0C" w:rsidP="00474D0C">
      <w:pPr>
        <w:rPr>
          <w:rFonts w:cs="Arial"/>
        </w:rPr>
      </w:pPr>
    </w:p>
    <w:p w14:paraId="2D39988B" w14:textId="4C36CFE3" w:rsidR="00474D0C" w:rsidRPr="004A3041" w:rsidRDefault="00474D0C" w:rsidP="00474D0C">
      <w:pPr>
        <w:rPr>
          <w:rFonts w:cs="Arial"/>
        </w:rPr>
      </w:pPr>
      <w:r w:rsidRPr="004A3041">
        <w:rPr>
          <w:rFonts w:cs="Arial"/>
        </w:rPr>
        <w:t>Le titulaire avise ses sous-traitants de ce que les obligations énoncées au présent article leurs sont applicables et restent responsables du respect de celles-ci.</w:t>
      </w:r>
    </w:p>
    <w:p w14:paraId="6DD211D3" w14:textId="77777777" w:rsidR="00474D0C" w:rsidRPr="004A3041" w:rsidRDefault="00474D0C" w:rsidP="00474D0C">
      <w:pPr>
        <w:rPr>
          <w:rFonts w:cs="Arial"/>
        </w:rPr>
      </w:pPr>
    </w:p>
    <w:p w14:paraId="19DCF81A" w14:textId="409F7592" w:rsidR="00474D0C" w:rsidRPr="004A3041" w:rsidRDefault="001F4617" w:rsidP="001F4617">
      <w:pPr>
        <w:pStyle w:val="Titre6"/>
      </w:pPr>
      <w:r>
        <w:rPr>
          <w:lang w:val="fr-FR"/>
        </w:rPr>
        <w:t xml:space="preserve">14.3.2. </w:t>
      </w:r>
      <w:r w:rsidR="00474D0C" w:rsidRPr="004A3041">
        <w:t>Conditions d’accès au site pour les personnes physiques</w:t>
      </w:r>
    </w:p>
    <w:p w14:paraId="647E5F92" w14:textId="3242C6EA" w:rsidR="00194E9B" w:rsidRPr="004A3041" w:rsidRDefault="00194E9B" w:rsidP="00194E9B">
      <w:r w:rsidRPr="004A3041">
        <w:t xml:space="preserve">Seuls peuvent accéder au site les personnels ayant fait l’objet d’une autorisation d’accès par la personne publique. </w:t>
      </w:r>
    </w:p>
    <w:p w14:paraId="6A24B447" w14:textId="77777777" w:rsidR="00A149B5" w:rsidRDefault="00A149B5" w:rsidP="00194E9B"/>
    <w:p w14:paraId="5583D18F" w14:textId="77777777" w:rsidR="009C4718" w:rsidRDefault="00194E9B" w:rsidP="00194E9B">
      <w:r w:rsidRPr="00CB46F0">
        <w:rPr>
          <w:u w:val="single"/>
        </w:rPr>
        <w:t>Informat</w:t>
      </w:r>
      <w:r w:rsidR="004C4F4E" w:rsidRPr="00CB46F0">
        <w:rPr>
          <w:u w:val="single"/>
        </w:rPr>
        <w:t>ions des personnels</w:t>
      </w:r>
      <w:r w:rsidR="00A149B5" w:rsidRPr="00CB46F0">
        <w:rPr>
          <w:u w:val="single"/>
        </w:rPr>
        <w:t xml:space="preserve"> concernés</w:t>
      </w:r>
      <w:r w:rsidR="00A149B5" w:rsidRPr="004A3041">
        <w:t xml:space="preserve"> :</w:t>
      </w:r>
      <w:r w:rsidR="004C4F4E" w:rsidRPr="004A3041">
        <w:t xml:space="preserve"> </w:t>
      </w:r>
    </w:p>
    <w:p w14:paraId="6A25A8E2" w14:textId="3EA70404" w:rsidR="00194E9B" w:rsidRPr="004A3041" w:rsidRDefault="009C4718" w:rsidP="00194E9B">
      <w:r>
        <w:t>L</w:t>
      </w:r>
      <w:r w:rsidR="00194E9B" w:rsidRPr="004A3041">
        <w:t>e titulaire s’engage à informer les personnels devant participer aux prestations du présent accord-cadre ayant besoin d’accéder aux locaux de la personne publique visés ci-dessus :</w:t>
      </w:r>
    </w:p>
    <w:p w14:paraId="41CCD1C6" w14:textId="77777777" w:rsidR="00194E9B" w:rsidRPr="004A3041" w:rsidRDefault="00194E9B" w:rsidP="00194E9B">
      <w:pPr>
        <w:tabs>
          <w:tab w:val="left" w:pos="284"/>
        </w:tabs>
        <w:spacing w:before="120"/>
        <w:ind w:left="284" w:hanging="284"/>
      </w:pPr>
      <w:r w:rsidRPr="004A3041">
        <w:t>-</w:t>
      </w:r>
      <w:r w:rsidRPr="004A3041">
        <w:tab/>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69987371" w14:textId="1950932E" w:rsidR="00194E9B" w:rsidRPr="004A3041" w:rsidRDefault="00194E9B" w:rsidP="00194E9B">
      <w:pPr>
        <w:tabs>
          <w:tab w:val="left" w:pos="284"/>
        </w:tabs>
        <w:spacing w:before="120"/>
        <w:ind w:left="284" w:hanging="284"/>
      </w:pPr>
      <w:r w:rsidRPr="004A3041">
        <w:t>-</w:t>
      </w:r>
      <w:r w:rsidRPr="004A3041">
        <w:tab/>
        <w:t>qu’ils devront se conformer strictement au règlement intérieur, aux règles de sécurité et de contrôle en vigueur dans l’établissement dans lequel sont exécutées les prestations et n’accéder qu’aux seuls locaux et installations concernés par l’accord-cadre.</w:t>
      </w:r>
    </w:p>
    <w:p w14:paraId="1891A014" w14:textId="77777777" w:rsidR="00194E9B" w:rsidRPr="004A3041" w:rsidRDefault="00194E9B" w:rsidP="00194E9B"/>
    <w:p w14:paraId="25B6D391" w14:textId="77777777" w:rsidR="00194E9B" w:rsidRPr="004A3041" w:rsidRDefault="00194E9B" w:rsidP="00194E9B">
      <w:r w:rsidRPr="004A3041">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71DF3345" w14:textId="77777777" w:rsidR="00194E9B" w:rsidRPr="004A3041" w:rsidRDefault="00194E9B" w:rsidP="00194E9B"/>
    <w:p w14:paraId="17C21E15" w14:textId="5C027E26" w:rsidR="00194E9B" w:rsidRPr="004A3041" w:rsidRDefault="00194E9B" w:rsidP="00194E9B">
      <w:r w:rsidRPr="004A3041">
        <w:t>Le titulaire s’engage à ne présenter sur le site que des personnels appartenant à son entreprise ou à un sous-traitant qui auront préalablement fait l’objet d’une autorisation d’accès.</w:t>
      </w:r>
    </w:p>
    <w:p w14:paraId="2F1FF446" w14:textId="77777777" w:rsidR="004C4F4E" w:rsidRPr="004A3041" w:rsidRDefault="004C4F4E" w:rsidP="004C4F4E">
      <w:pPr>
        <w:rPr>
          <w:rFonts w:cs="Arial"/>
        </w:rPr>
      </w:pPr>
    </w:p>
    <w:p w14:paraId="77EAFE56" w14:textId="5DC3EAE1" w:rsidR="004C4F4E" w:rsidRPr="001F4617" w:rsidRDefault="001F4617" w:rsidP="001F4617">
      <w:pPr>
        <w:pStyle w:val="Titre6"/>
        <w:rPr>
          <w:lang w:val="fr-FR"/>
        </w:rPr>
      </w:pPr>
      <w:r>
        <w:rPr>
          <w:lang w:val="fr-FR"/>
        </w:rPr>
        <w:t>14.3.3.</w:t>
      </w:r>
      <w:r w:rsidR="004C4F4E" w:rsidRPr="001F4617">
        <w:rPr>
          <w:lang w:val="fr-FR"/>
        </w:rPr>
        <w:t xml:space="preserve"> Conditions d’accès au site pour les véhicules</w:t>
      </w:r>
    </w:p>
    <w:p w14:paraId="0D2C3270" w14:textId="77777777" w:rsidR="004C4F4E" w:rsidRPr="004A3041" w:rsidRDefault="004C4F4E" w:rsidP="004C4F4E">
      <w:pPr>
        <w:rPr>
          <w:rFonts w:cs="Arial"/>
        </w:rPr>
      </w:pPr>
      <w:r w:rsidRPr="004A3041">
        <w:rPr>
          <w:rFonts w:cs="Arial"/>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1759EEEA" w14:textId="77777777" w:rsidR="00CE627B" w:rsidRPr="004A3041" w:rsidRDefault="00CE627B" w:rsidP="00CE627B"/>
    <w:p w14:paraId="702F3682" w14:textId="05550394" w:rsidR="00CE627B" w:rsidRPr="004A3041" w:rsidRDefault="001F4617" w:rsidP="001F4617">
      <w:pPr>
        <w:pStyle w:val="Titre6"/>
      </w:pPr>
      <w:bookmarkStart w:id="256" w:name="_Toc507666672"/>
      <w:bookmarkStart w:id="257" w:name="_Toc50109609"/>
      <w:bookmarkStart w:id="258" w:name="_Toc94694227"/>
      <w:r>
        <w:rPr>
          <w:lang w:val="fr-FR"/>
        </w:rPr>
        <w:t xml:space="preserve">14.3.4. </w:t>
      </w:r>
      <w:r w:rsidR="00474D0C" w:rsidRPr="004A3041">
        <w:rPr>
          <w:lang w:val="fr-FR"/>
        </w:rPr>
        <w:t>Disposition</w:t>
      </w:r>
      <w:r>
        <w:rPr>
          <w:lang w:val="fr-FR"/>
        </w:rPr>
        <w:t>s</w:t>
      </w:r>
      <w:r w:rsidR="00474D0C" w:rsidRPr="004A3041">
        <w:rPr>
          <w:lang w:val="fr-FR"/>
        </w:rPr>
        <w:t xml:space="preserve"> relatives à</w:t>
      </w:r>
      <w:r w:rsidR="00CE627B" w:rsidRPr="001F4617">
        <w:rPr>
          <w:lang w:val="fr-FR"/>
        </w:rPr>
        <w:t xml:space="preserve"> </w:t>
      </w:r>
      <w:r w:rsidR="00097A1D" w:rsidRPr="004A3041">
        <w:rPr>
          <w:lang w:val="fr-FR"/>
        </w:rPr>
        <w:t xml:space="preserve">un </w:t>
      </w:r>
      <w:r w:rsidR="00097A1D" w:rsidRPr="001F4617">
        <w:rPr>
          <w:lang w:val="fr-FR"/>
        </w:rPr>
        <w:t>terrain</w:t>
      </w:r>
      <w:r w:rsidR="00CE627B" w:rsidRPr="001F4617">
        <w:rPr>
          <w:lang w:val="fr-FR"/>
        </w:rPr>
        <w:t xml:space="preserve"> militaire</w:t>
      </w:r>
      <w:bookmarkEnd w:id="256"/>
      <w:bookmarkEnd w:id="257"/>
      <w:bookmarkEnd w:id="258"/>
    </w:p>
    <w:p w14:paraId="5E4B1F92" w14:textId="77777777" w:rsidR="00CE627B" w:rsidRPr="004A3041" w:rsidRDefault="00CE627B" w:rsidP="00CE627B"/>
    <w:p w14:paraId="0307181B" w14:textId="77777777" w:rsidR="00CE627B" w:rsidRPr="004A3041" w:rsidRDefault="00CE627B" w:rsidP="00CE627B">
      <w:r w:rsidRPr="004A3041">
        <w:t xml:space="preserve">Le titulaire reconnait avoir pris connaissance que certains lieux d’exécution sont affectés à l’autorité militaire ou placés sous son contrôle et constituent des terrains militaires. </w:t>
      </w:r>
    </w:p>
    <w:p w14:paraId="42348525" w14:textId="77777777" w:rsidR="00CE627B" w:rsidRPr="004A3041" w:rsidRDefault="00CE627B" w:rsidP="00CE627B"/>
    <w:p w14:paraId="73E4C544" w14:textId="464D620F" w:rsidR="00CE627B" w:rsidRPr="001F4617" w:rsidRDefault="00097A1D">
      <w:pPr>
        <w:pStyle w:val="Titre6"/>
        <w:rPr>
          <w:lang w:val="fr-FR"/>
        </w:rPr>
      </w:pPr>
      <w:r w:rsidRPr="001F4617">
        <w:rPr>
          <w:lang w:val="fr-FR"/>
        </w:rPr>
        <w:lastRenderedPageBreak/>
        <w:t>14.3.</w:t>
      </w:r>
      <w:r w:rsidR="001F4617">
        <w:rPr>
          <w:lang w:val="fr-FR"/>
        </w:rPr>
        <w:t>5</w:t>
      </w:r>
      <w:r w:rsidRPr="001F4617">
        <w:rPr>
          <w:lang w:val="fr-FR"/>
        </w:rPr>
        <w:t>. Dispositions générales </w:t>
      </w:r>
    </w:p>
    <w:p w14:paraId="2A70B6F8" w14:textId="77777777" w:rsidR="00CE627B" w:rsidRPr="004A3041" w:rsidRDefault="00CE627B" w:rsidP="00E73B45">
      <w:pPr>
        <w:keepNext/>
      </w:pPr>
    </w:p>
    <w:p w14:paraId="412805E9" w14:textId="77777777" w:rsidR="00CE627B" w:rsidRPr="004A3041" w:rsidRDefault="00CE627B" w:rsidP="00E73B45">
      <w:pPr>
        <w:keepNext/>
      </w:pPr>
      <w:r w:rsidRPr="004A3041">
        <w:t xml:space="preserve">Seuls peuvent accéder au site les personnels ayant fait l’objet d’une autorisation d’accès transmise par écrit au titulaire par l’officier de sécurité du service </w:t>
      </w:r>
      <w:r w:rsidRPr="004A3041">
        <w:rPr>
          <w:color w:val="000000" w:themeColor="text1"/>
        </w:rPr>
        <w:t xml:space="preserve">désigné à l’article 5.1.2 du présent </w:t>
      </w:r>
      <w:r w:rsidRPr="004A3041">
        <w:t>document. Cette autorisation requiert le respect des mesures mentionnées ci-dessous.</w:t>
      </w:r>
    </w:p>
    <w:p w14:paraId="37778FDD" w14:textId="77777777" w:rsidR="00CE627B" w:rsidRPr="004A3041" w:rsidRDefault="00CE627B" w:rsidP="00CE627B"/>
    <w:p w14:paraId="00D6F16C" w14:textId="24E22E31" w:rsidR="00CE627B" w:rsidRPr="001F4617" w:rsidRDefault="00097A1D" w:rsidP="001F4617">
      <w:pPr>
        <w:pStyle w:val="Titre6"/>
        <w:rPr>
          <w:lang w:val="fr-FR"/>
        </w:rPr>
      </w:pPr>
      <w:r w:rsidRPr="001F4617">
        <w:rPr>
          <w:lang w:val="fr-FR"/>
        </w:rPr>
        <w:t>14.3.</w:t>
      </w:r>
      <w:r w:rsidR="001F4617">
        <w:rPr>
          <w:lang w:val="fr-FR"/>
        </w:rPr>
        <w:t>6</w:t>
      </w:r>
      <w:r w:rsidRPr="001F4617">
        <w:rPr>
          <w:lang w:val="fr-FR"/>
        </w:rPr>
        <w:t xml:space="preserve">. </w:t>
      </w:r>
      <w:r w:rsidR="00CE627B" w:rsidRPr="001F4617">
        <w:rPr>
          <w:lang w:val="fr-FR"/>
        </w:rPr>
        <w:t>Informations des personnels concernés</w:t>
      </w:r>
      <w:r w:rsidRPr="001F4617">
        <w:rPr>
          <w:lang w:val="fr-FR"/>
        </w:rPr>
        <w:t> </w:t>
      </w:r>
    </w:p>
    <w:p w14:paraId="50F8716F" w14:textId="77777777" w:rsidR="00CE627B" w:rsidRPr="004A3041" w:rsidRDefault="00CE627B" w:rsidP="00CE627B"/>
    <w:p w14:paraId="662487D0" w14:textId="77777777" w:rsidR="00CE627B" w:rsidRPr="004A3041" w:rsidRDefault="00CE627B" w:rsidP="00CE627B">
      <w:r w:rsidRPr="004A3041">
        <w:t xml:space="preserve">Le titulaire s’engage à informer les personnels devant participer aux prestations du présent </w:t>
      </w:r>
      <w:r w:rsidR="004735BC" w:rsidRPr="004A3041">
        <w:t>accord-cadre</w:t>
      </w:r>
      <w:r w:rsidRPr="004A3041">
        <w:t xml:space="preserve"> ayant besoin d’accéder au terrain militaire visé ci-dessus :</w:t>
      </w:r>
    </w:p>
    <w:p w14:paraId="227B2FB9" w14:textId="77777777" w:rsidR="00CE627B" w:rsidRPr="004A3041" w:rsidRDefault="00CE627B" w:rsidP="00E73B45">
      <w:pPr>
        <w:tabs>
          <w:tab w:val="left" w:pos="284"/>
        </w:tabs>
        <w:spacing w:before="60"/>
        <w:ind w:left="284" w:hanging="284"/>
      </w:pPr>
      <w:r w:rsidRPr="004A3041">
        <w:t>-</w:t>
      </w:r>
      <w:r w:rsidRPr="004A3041">
        <w:tab/>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6AE29B08" w14:textId="77777777" w:rsidR="00CE627B" w:rsidRPr="004A3041" w:rsidRDefault="00CE627B" w:rsidP="00E73B45">
      <w:pPr>
        <w:tabs>
          <w:tab w:val="left" w:pos="284"/>
        </w:tabs>
        <w:spacing w:before="60"/>
        <w:ind w:left="284" w:hanging="284"/>
      </w:pPr>
      <w:r w:rsidRPr="004A3041">
        <w:t>-</w:t>
      </w:r>
      <w:r w:rsidRPr="004A3041">
        <w:tab/>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12625F0C" w14:textId="77777777" w:rsidR="00CE627B" w:rsidRPr="004A3041" w:rsidRDefault="00CE627B" w:rsidP="00CE627B"/>
    <w:p w14:paraId="62E4FA71" w14:textId="77777777" w:rsidR="00CE627B" w:rsidRPr="004A3041" w:rsidRDefault="00CE627B" w:rsidP="00CE627B">
      <w:r w:rsidRPr="004A3041">
        <w:t>Le titulaire s’engage à ne présenter sur le site que des personnels appartenant à son entreprise ou à un sous-traitant qui auront été préalablement fait l’objet d’une autorisation d’accès.</w:t>
      </w:r>
    </w:p>
    <w:p w14:paraId="0568ABE7" w14:textId="77777777" w:rsidR="00CE627B" w:rsidRPr="004A3041" w:rsidRDefault="00CE627B" w:rsidP="00CE627B"/>
    <w:p w14:paraId="1B977125" w14:textId="34D7BFC4" w:rsidR="00CE627B" w:rsidRPr="004A3041" w:rsidRDefault="00CE627B" w:rsidP="00CE627B">
      <w:pPr>
        <w:pStyle w:val="Titre6"/>
        <w:rPr>
          <w:lang w:val="fr-FR"/>
        </w:rPr>
      </w:pPr>
      <w:bookmarkStart w:id="259" w:name="_Toc507666673"/>
      <w:bookmarkStart w:id="260" w:name="_Toc50109610"/>
      <w:bookmarkStart w:id="261" w:name="_Toc94694228"/>
      <w:r w:rsidRPr="004A3041">
        <w:t>1</w:t>
      </w:r>
      <w:r w:rsidR="009600BE" w:rsidRPr="004A3041">
        <w:rPr>
          <w:lang w:val="fr-FR"/>
        </w:rPr>
        <w:t>4</w:t>
      </w:r>
      <w:r w:rsidRPr="004A3041">
        <w:t>.</w:t>
      </w:r>
      <w:r w:rsidR="001F4617">
        <w:rPr>
          <w:lang w:val="fr-FR"/>
        </w:rPr>
        <w:t>4</w:t>
      </w:r>
      <w:r w:rsidRPr="004A3041">
        <w:t>. Dispositions relatives à l’accès à un</w:t>
      </w:r>
      <w:bookmarkEnd w:id="259"/>
      <w:bookmarkEnd w:id="260"/>
      <w:r w:rsidRPr="004A3041">
        <w:t>e zone protégée</w:t>
      </w:r>
      <w:bookmarkEnd w:id="261"/>
    </w:p>
    <w:p w14:paraId="1BDC6313" w14:textId="77777777" w:rsidR="00CE627B" w:rsidRPr="004A3041" w:rsidRDefault="00CE627B" w:rsidP="00CE627B"/>
    <w:p w14:paraId="70D18014" w14:textId="77777777" w:rsidR="00CE627B" w:rsidRPr="004A3041" w:rsidRDefault="00CE627B" w:rsidP="00CE627B">
      <w:r w:rsidRPr="004A3041">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p>
    <w:p w14:paraId="302B779A" w14:textId="77777777" w:rsidR="00CE627B" w:rsidRPr="004A3041" w:rsidRDefault="00CE627B" w:rsidP="00CE627B"/>
    <w:p w14:paraId="0E981DFF" w14:textId="1E88489C" w:rsidR="00CE627B" w:rsidRPr="004A3041" w:rsidRDefault="00AD13CC" w:rsidP="001F4617">
      <w:pPr>
        <w:pStyle w:val="Titre6"/>
      </w:pPr>
      <w:r w:rsidRPr="001F4617">
        <w:rPr>
          <w:lang w:val="fr-FR"/>
        </w:rPr>
        <w:t>14.</w:t>
      </w:r>
      <w:r w:rsidR="001F4617">
        <w:rPr>
          <w:lang w:val="fr-FR"/>
        </w:rPr>
        <w:t>4.1</w:t>
      </w:r>
      <w:r w:rsidRPr="001F4617">
        <w:rPr>
          <w:lang w:val="fr-FR"/>
        </w:rPr>
        <w:t xml:space="preserve">. </w:t>
      </w:r>
      <w:r w:rsidR="00CE627B" w:rsidRPr="001F4617">
        <w:rPr>
          <w:lang w:val="fr-FR"/>
        </w:rPr>
        <w:t>Dispositions générales</w:t>
      </w:r>
      <w:r w:rsidRPr="001F4617">
        <w:rPr>
          <w:lang w:val="fr-FR"/>
        </w:rPr>
        <w:t> </w:t>
      </w:r>
    </w:p>
    <w:p w14:paraId="7CC38B50" w14:textId="77777777" w:rsidR="00CE627B" w:rsidRPr="004A3041" w:rsidRDefault="00CE627B" w:rsidP="00CE627B"/>
    <w:p w14:paraId="74C4676F" w14:textId="77777777" w:rsidR="00CE627B" w:rsidRPr="004A3041" w:rsidRDefault="00CE627B" w:rsidP="00CE627B">
      <w:r w:rsidRPr="004A3041">
        <w:t>Seuls peuvent accéder au site les personnels ayant fait l’objet d’une autorisation d’accès transmise par écrit au titulaire par l’officier de sécurité compétent. Cette autorisation requiert le respect des mesures mentionnées ci-dessous.</w:t>
      </w:r>
    </w:p>
    <w:p w14:paraId="2DC0F267" w14:textId="77777777" w:rsidR="00CE627B" w:rsidRPr="004A3041" w:rsidRDefault="00CE627B" w:rsidP="00CE627B"/>
    <w:p w14:paraId="5E20349B" w14:textId="7158EE4D" w:rsidR="00CE627B" w:rsidRPr="001F4617" w:rsidRDefault="00AD13CC" w:rsidP="001F4617">
      <w:pPr>
        <w:pStyle w:val="Titre6"/>
        <w:rPr>
          <w:lang w:val="fr-FR"/>
        </w:rPr>
      </w:pPr>
      <w:r w:rsidRPr="001F4617">
        <w:rPr>
          <w:lang w:val="fr-FR"/>
        </w:rPr>
        <w:t>14.</w:t>
      </w:r>
      <w:r w:rsidR="001F4617">
        <w:rPr>
          <w:lang w:val="fr-FR"/>
        </w:rPr>
        <w:t>4</w:t>
      </w:r>
      <w:r w:rsidRPr="001F4617">
        <w:rPr>
          <w:lang w:val="fr-FR"/>
        </w:rPr>
        <w:t xml:space="preserve">.2. </w:t>
      </w:r>
      <w:r w:rsidR="00CE627B" w:rsidRPr="001F4617">
        <w:rPr>
          <w:lang w:val="fr-FR"/>
        </w:rPr>
        <w:t>Informations des personnels concernés</w:t>
      </w:r>
      <w:r w:rsidRPr="001F4617">
        <w:rPr>
          <w:lang w:val="fr-FR"/>
        </w:rPr>
        <w:t> </w:t>
      </w:r>
    </w:p>
    <w:p w14:paraId="148EFA53" w14:textId="77777777" w:rsidR="00CE627B" w:rsidRPr="004A3041" w:rsidRDefault="00CE627B" w:rsidP="00CE627B"/>
    <w:p w14:paraId="4C25F7BA" w14:textId="77777777" w:rsidR="00CE627B" w:rsidRPr="004A3041" w:rsidRDefault="00CE627B" w:rsidP="00CE627B">
      <w:r w:rsidRPr="004A3041">
        <w:t>Le titulaire s’engage à informer les personnels devant participer aux prestations du présent contrat ayant besoin d’accéder à la zone protégée :</w:t>
      </w:r>
    </w:p>
    <w:p w14:paraId="6EEE1F54" w14:textId="0871FEB6" w:rsidR="00AD13CC" w:rsidRPr="004A3041" w:rsidRDefault="00CE627B" w:rsidP="00E73B45">
      <w:pPr>
        <w:tabs>
          <w:tab w:val="left" w:pos="284"/>
        </w:tabs>
        <w:spacing w:before="60"/>
        <w:ind w:left="284" w:hanging="284"/>
      </w:pPr>
      <w:r w:rsidRPr="004A3041">
        <w:t>-</w:t>
      </w:r>
      <w:r w:rsidRPr="004A3041">
        <w:tab/>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w:t>
      </w:r>
      <w:r w:rsidR="00AD13CC" w:rsidRPr="004A3041">
        <w:t>rocédures judiciaires en cours.</w:t>
      </w:r>
    </w:p>
    <w:p w14:paraId="56DC956C" w14:textId="77777777" w:rsidR="00CE627B" w:rsidRPr="004A3041" w:rsidRDefault="00CE627B" w:rsidP="00E73B45">
      <w:pPr>
        <w:tabs>
          <w:tab w:val="left" w:pos="284"/>
        </w:tabs>
        <w:spacing w:before="60"/>
        <w:ind w:left="284" w:hanging="284"/>
      </w:pPr>
      <w:r w:rsidRPr="004A3041">
        <w:t>-</w:t>
      </w:r>
      <w:r w:rsidRPr="004A3041">
        <w:tab/>
        <w:t>qu’ils devront se conformer strictement au règlement intérieur, aux règles de sécurité et de contrôle en vigueur dans l’établissement dans lequel sont exécutées les prestations et n’accéder qu’aux seuls locaux et installations concernés par le contrat.</w:t>
      </w:r>
    </w:p>
    <w:p w14:paraId="675D2C78" w14:textId="77777777" w:rsidR="00CE627B" w:rsidRPr="004A3041" w:rsidRDefault="00CE627B" w:rsidP="00CE627B"/>
    <w:p w14:paraId="64E44F1F" w14:textId="72CD44CE" w:rsidR="00706315" w:rsidRPr="004A3041" w:rsidRDefault="00CE627B" w:rsidP="00CE627B">
      <w:r w:rsidRPr="004A3041">
        <w:t>Le titulaire s’engage à ne présenter sur le site que des personnels appartenant à son entreprise ou à un sous-traitant qui auront préalablement fait l’objet d’une autorisation d’accès.</w:t>
      </w:r>
    </w:p>
    <w:p w14:paraId="5204D94B" w14:textId="77777777" w:rsidR="00CE627B" w:rsidRPr="004A3041" w:rsidRDefault="00CE627B" w:rsidP="00CE627B"/>
    <w:p w14:paraId="1F10EC89" w14:textId="5A5310DA" w:rsidR="00CE627B" w:rsidRPr="004A3041" w:rsidRDefault="00CE627B" w:rsidP="00CE627B">
      <w:pPr>
        <w:pStyle w:val="Titre6"/>
      </w:pPr>
      <w:bookmarkStart w:id="262" w:name="_Toc507666674"/>
      <w:bookmarkStart w:id="263" w:name="_Toc50109611"/>
      <w:bookmarkStart w:id="264" w:name="_Toc94694229"/>
      <w:r w:rsidRPr="004A3041">
        <w:t>1</w:t>
      </w:r>
      <w:r w:rsidR="009600BE" w:rsidRPr="001F4617">
        <w:t>4</w:t>
      </w:r>
      <w:r w:rsidRPr="004A3041">
        <w:t>.</w:t>
      </w:r>
      <w:r w:rsidR="001F4617">
        <w:rPr>
          <w:lang w:val="fr-FR"/>
        </w:rPr>
        <w:t>5</w:t>
      </w:r>
      <w:r w:rsidRPr="004A3041">
        <w:t>. Dispositions relatives à l’accès à une Zone réservée</w:t>
      </w:r>
      <w:bookmarkEnd w:id="262"/>
      <w:bookmarkEnd w:id="263"/>
      <w:bookmarkEnd w:id="264"/>
    </w:p>
    <w:p w14:paraId="674F18E3" w14:textId="77777777" w:rsidR="00CE627B" w:rsidRPr="004A3041" w:rsidRDefault="00CE627B" w:rsidP="00CE627B"/>
    <w:p w14:paraId="607AA37D" w14:textId="77777777" w:rsidR="00CE627B" w:rsidRPr="004A3041" w:rsidRDefault="00CE627B" w:rsidP="00CE627B">
      <w:r w:rsidRPr="004A3041">
        <w:t xml:space="preserve">Le titulaire reconnait avoir pris connaissance que certains lieux d’exécution appartiennent à une Zone Réservée créée conformément à l’article 5.3.1.2 et à l’annexe 32 de l’instruction générale interministérielle n°1300 sur la protection du secret de la défense nationale annexée à l’arrêté du </w:t>
      </w:r>
      <w:hyperlink r:id="rId13" w:history="1">
        <w:r w:rsidRPr="004A3041">
          <w:t>09 août 2021 portant approbation de ladite instruction</w:t>
        </w:r>
      </w:hyperlink>
      <w:r w:rsidRPr="004A3041">
        <w:t xml:space="preserve">; conformément audit articles, cette zone réservée appartient à une zone protégée telle que définie aux articles </w:t>
      </w:r>
      <w:hyperlink r:id="rId14" w:history="1">
        <w:r w:rsidRPr="004A3041">
          <w:t>L.413-7</w:t>
        </w:r>
      </w:hyperlink>
      <w:r w:rsidRPr="004A3041">
        <w:t xml:space="preserve"> et </w:t>
      </w:r>
      <w:hyperlink r:id="rId15" w:history="1">
        <w:r w:rsidRPr="004A3041">
          <w:t>R. 413-1</w:t>
        </w:r>
      </w:hyperlink>
      <w:r w:rsidRPr="004A3041">
        <w:t xml:space="preserve"> du code pénal.</w:t>
      </w:r>
    </w:p>
    <w:p w14:paraId="5BDEE93F" w14:textId="77777777" w:rsidR="00CE627B" w:rsidRPr="004A3041" w:rsidRDefault="00CE627B" w:rsidP="00CE627B"/>
    <w:p w14:paraId="11A6F2E0" w14:textId="31525511" w:rsidR="00CE627B" w:rsidRPr="004A3041" w:rsidRDefault="00AD13CC" w:rsidP="001F4617">
      <w:pPr>
        <w:pStyle w:val="Titre6"/>
      </w:pPr>
      <w:r w:rsidRPr="001F4617">
        <w:rPr>
          <w:lang w:val="fr-FR"/>
        </w:rPr>
        <w:t>14.</w:t>
      </w:r>
      <w:r w:rsidR="001F4617">
        <w:rPr>
          <w:lang w:val="fr-FR"/>
        </w:rPr>
        <w:t>5.1</w:t>
      </w:r>
      <w:r w:rsidRPr="001F4617">
        <w:rPr>
          <w:lang w:val="fr-FR"/>
        </w:rPr>
        <w:t xml:space="preserve">. </w:t>
      </w:r>
      <w:r w:rsidR="00CE627B" w:rsidRPr="001F4617">
        <w:rPr>
          <w:lang w:val="fr-FR"/>
        </w:rPr>
        <w:t>Dispositions générales</w:t>
      </w:r>
      <w:r w:rsidRPr="001F4617">
        <w:rPr>
          <w:lang w:val="fr-FR"/>
        </w:rPr>
        <w:t> </w:t>
      </w:r>
    </w:p>
    <w:p w14:paraId="4CC03ECF" w14:textId="77777777" w:rsidR="00CE627B" w:rsidRPr="004A3041" w:rsidRDefault="00CE627B" w:rsidP="00CE627B"/>
    <w:p w14:paraId="06367753" w14:textId="77777777" w:rsidR="00CE627B" w:rsidRPr="004A3041" w:rsidRDefault="00CE627B" w:rsidP="00CE627B">
      <w:r w:rsidRPr="004A3041">
        <w:t xml:space="preserve">Seuls peuvent accéder au site les personnels ayant fait l’objet d’une autorisation d’accès transmise par écrit au titulaire par l’officier de sécurité du service </w:t>
      </w:r>
      <w:r w:rsidRPr="004A3041">
        <w:rPr>
          <w:color w:val="000000" w:themeColor="text1"/>
        </w:rPr>
        <w:t xml:space="preserve">désigné à l’article 5.1.2 du présent </w:t>
      </w:r>
      <w:r w:rsidRPr="004A3041">
        <w:t>document. Cette autorisation requiert le respect des mesures mentionnées ci-dessous.</w:t>
      </w:r>
    </w:p>
    <w:p w14:paraId="728C62BF" w14:textId="77777777" w:rsidR="00CE627B" w:rsidRPr="004A3041" w:rsidRDefault="00CE627B" w:rsidP="00CE627B"/>
    <w:p w14:paraId="0EB5310D" w14:textId="6DAF18B0" w:rsidR="00CE627B" w:rsidRPr="001F4617" w:rsidRDefault="00AD13CC">
      <w:pPr>
        <w:pStyle w:val="Titre6"/>
        <w:rPr>
          <w:lang w:val="fr-FR"/>
        </w:rPr>
      </w:pPr>
      <w:r w:rsidRPr="001F4617">
        <w:rPr>
          <w:lang w:val="fr-FR"/>
        </w:rPr>
        <w:lastRenderedPageBreak/>
        <w:t>14</w:t>
      </w:r>
      <w:r w:rsidR="001F4617">
        <w:rPr>
          <w:lang w:val="fr-FR"/>
        </w:rPr>
        <w:t>.5.</w:t>
      </w:r>
      <w:r w:rsidRPr="001F4617">
        <w:rPr>
          <w:lang w:val="fr-FR"/>
        </w:rPr>
        <w:t xml:space="preserve">2. </w:t>
      </w:r>
      <w:r w:rsidR="00CE627B" w:rsidRPr="001F4617">
        <w:rPr>
          <w:lang w:val="fr-FR"/>
        </w:rPr>
        <w:t>Informations des personnels concernés</w:t>
      </w:r>
      <w:r w:rsidRPr="001F4617">
        <w:rPr>
          <w:lang w:val="fr-FR"/>
        </w:rPr>
        <w:t> </w:t>
      </w:r>
    </w:p>
    <w:p w14:paraId="58277658" w14:textId="77777777" w:rsidR="00CE627B" w:rsidRPr="004A3041" w:rsidRDefault="00CE627B" w:rsidP="00E73B45">
      <w:pPr>
        <w:keepNext/>
      </w:pPr>
    </w:p>
    <w:p w14:paraId="7CF3F7C4" w14:textId="77777777" w:rsidR="00CE627B" w:rsidRPr="004A3041" w:rsidRDefault="00CE627B" w:rsidP="00E73B45">
      <w:pPr>
        <w:keepNext/>
      </w:pPr>
      <w:r w:rsidRPr="004A3041">
        <w:t xml:space="preserve">Le titulaire s’engage à informer les personnels devant participer aux prestations du présent </w:t>
      </w:r>
      <w:r w:rsidR="004735BC" w:rsidRPr="004A3041">
        <w:t>accord-cadre</w:t>
      </w:r>
      <w:r w:rsidRPr="004A3041">
        <w:t xml:space="preserve"> ayant besoin d’accéder à la Zone réservée :</w:t>
      </w:r>
    </w:p>
    <w:p w14:paraId="36750653" w14:textId="77777777" w:rsidR="00CE627B" w:rsidRPr="004A3041" w:rsidRDefault="00CE627B" w:rsidP="00E73B45">
      <w:pPr>
        <w:spacing w:before="60"/>
        <w:ind w:left="284" w:hanging="284"/>
      </w:pPr>
      <w:r w:rsidRPr="004A3041">
        <w:t>-</w:t>
      </w:r>
      <w:r w:rsidRPr="004A3041">
        <w:tab/>
        <w:t>qu</w:t>
      </w:r>
      <w:r w:rsidRPr="004A3041">
        <w:rPr>
          <w:sz w:val="24"/>
          <w:szCs w:val="24"/>
        </w:rPr>
        <w:t>’</w:t>
      </w:r>
      <w:r w:rsidRPr="004A3041">
        <w:t>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 ;</w:t>
      </w:r>
    </w:p>
    <w:p w14:paraId="42807C30" w14:textId="77777777" w:rsidR="00CE627B" w:rsidRPr="004A3041" w:rsidRDefault="00CE627B" w:rsidP="00E73B45">
      <w:pPr>
        <w:spacing w:before="60"/>
        <w:ind w:left="284" w:hanging="284"/>
      </w:pPr>
      <w:r w:rsidRPr="004A3041">
        <w:t>-</w:t>
      </w:r>
      <w:r w:rsidRPr="004A3041">
        <w:tab/>
        <w:t xml:space="preserve">qu’ils pourront, s’ils sont autorisés à accéder à Zone Réservée, y intervenir uniquement en présence des personnels </w:t>
      </w:r>
      <w:proofErr w:type="gramStart"/>
      <w:r w:rsidRPr="004A3041">
        <w:t>du ministère employés</w:t>
      </w:r>
      <w:proofErr w:type="gramEnd"/>
      <w:r w:rsidRPr="004A3041">
        <w:t xml:space="preserve"> dans ladite zone.</w:t>
      </w:r>
    </w:p>
    <w:p w14:paraId="562915B4" w14:textId="77777777" w:rsidR="00CE627B" w:rsidRPr="004A3041" w:rsidRDefault="00CE627B" w:rsidP="00CE627B"/>
    <w:p w14:paraId="0132732F" w14:textId="0F8B302A" w:rsidR="00CE627B" w:rsidRPr="001F4617" w:rsidRDefault="00CE627B" w:rsidP="00CE627B">
      <w:pPr>
        <w:pStyle w:val="Titre6"/>
      </w:pPr>
      <w:bookmarkStart w:id="265" w:name="_Toc507666675"/>
      <w:bookmarkStart w:id="266" w:name="_Toc50109612"/>
      <w:bookmarkStart w:id="267" w:name="_Toc94694230"/>
      <w:r w:rsidRPr="004A3041">
        <w:t>1</w:t>
      </w:r>
      <w:r w:rsidR="009600BE" w:rsidRPr="001F4617">
        <w:t>4</w:t>
      </w:r>
      <w:r w:rsidRPr="004A3041">
        <w:t>.</w:t>
      </w:r>
      <w:r w:rsidR="001F4617">
        <w:rPr>
          <w:lang w:val="fr-FR"/>
        </w:rPr>
        <w:t>6</w:t>
      </w:r>
      <w:r w:rsidRPr="004A3041">
        <w:t xml:space="preserve">. Dispositions relatives à l’accès à </w:t>
      </w:r>
      <w:bookmarkEnd w:id="265"/>
      <w:bookmarkEnd w:id="266"/>
      <w:r w:rsidRPr="001F4617">
        <w:t>un Point d’Importance Vitale</w:t>
      </w:r>
      <w:bookmarkEnd w:id="267"/>
    </w:p>
    <w:p w14:paraId="07798EEB" w14:textId="77777777" w:rsidR="00CE627B" w:rsidRPr="004A3041" w:rsidRDefault="00CE627B" w:rsidP="00CE627B"/>
    <w:p w14:paraId="5D6C93BA" w14:textId="77777777" w:rsidR="00CE627B" w:rsidRPr="004A3041" w:rsidRDefault="00CE627B" w:rsidP="00CE627B">
      <w:r w:rsidRPr="004A3041">
        <w:t>Le titulaire reconnait avoir pris connaissance que certains lieux d’exécution constituent un point d’importance vitale. Ce site relève de dispositions de contrôle et de protection spécifiques du code de la défense au regard de sa sensibilité.</w:t>
      </w:r>
    </w:p>
    <w:p w14:paraId="296C416B" w14:textId="77777777" w:rsidR="00CE627B" w:rsidRPr="004A3041" w:rsidRDefault="00CE627B" w:rsidP="00CE627B"/>
    <w:p w14:paraId="391664D0" w14:textId="77777777" w:rsidR="00CE627B" w:rsidRPr="004A3041" w:rsidRDefault="00CE627B" w:rsidP="00CE627B">
      <w:r w:rsidRPr="004A3041">
        <w:t>Le titulaire reconnait avoir pris connaissance des dispositions du code de la défense et notamment de l’article L. 1332-2-1 et les articles R. 1332-22-1 et suivants.</w:t>
      </w:r>
    </w:p>
    <w:p w14:paraId="2B264938" w14:textId="77777777" w:rsidR="00CE627B" w:rsidRPr="004A3041" w:rsidRDefault="00CE627B" w:rsidP="00CE627B"/>
    <w:p w14:paraId="76D3B205" w14:textId="4ECA7B5B" w:rsidR="00CE627B" w:rsidRPr="001F4617" w:rsidRDefault="00AD13CC" w:rsidP="001F4617">
      <w:pPr>
        <w:pStyle w:val="Titre6"/>
        <w:rPr>
          <w:lang w:val="fr-FR"/>
        </w:rPr>
      </w:pPr>
      <w:r w:rsidRPr="001F4617">
        <w:rPr>
          <w:lang w:val="fr-FR"/>
        </w:rPr>
        <w:t>14.</w:t>
      </w:r>
      <w:r w:rsidR="001F4617">
        <w:rPr>
          <w:lang w:val="fr-FR"/>
        </w:rPr>
        <w:t>6</w:t>
      </w:r>
      <w:r w:rsidRPr="001F4617">
        <w:rPr>
          <w:lang w:val="fr-FR"/>
        </w:rPr>
        <w:t xml:space="preserve">.1. </w:t>
      </w:r>
      <w:r w:rsidR="00CE627B" w:rsidRPr="001F4617">
        <w:rPr>
          <w:lang w:val="fr-FR"/>
        </w:rPr>
        <w:t>Dispositions générales</w:t>
      </w:r>
      <w:r w:rsidRPr="001F4617">
        <w:rPr>
          <w:lang w:val="fr-FR"/>
        </w:rPr>
        <w:t> </w:t>
      </w:r>
    </w:p>
    <w:p w14:paraId="3261715D" w14:textId="77777777" w:rsidR="00CE627B" w:rsidRPr="004A3041" w:rsidRDefault="00CE627B" w:rsidP="00CE627B"/>
    <w:p w14:paraId="5F46C6E3" w14:textId="77777777" w:rsidR="00CE627B" w:rsidRPr="004A3041" w:rsidRDefault="00CE627B" w:rsidP="00CE627B">
      <w:r w:rsidRPr="004A3041">
        <w:t xml:space="preserve">Seuls peuvent accéder au site les personnels </w:t>
      </w:r>
      <w:r w:rsidRPr="004A3041">
        <w:rPr>
          <w:color w:val="000000" w:themeColor="text1"/>
        </w:rPr>
        <w:t xml:space="preserve">ayant fait l’objet d’une autorisation d’accès transmise par écrit au titulaire par l’officier de sécurité du service désigné à l’article 5.1.2 du présent </w:t>
      </w:r>
      <w:r w:rsidRPr="004A3041">
        <w:t>document. Cette autorisation requiert le respect des mesures mentionnées ci-dessous.</w:t>
      </w:r>
    </w:p>
    <w:p w14:paraId="3948E4F5" w14:textId="77777777" w:rsidR="00CE627B" w:rsidRPr="004A3041" w:rsidRDefault="00CE627B" w:rsidP="00CE627B"/>
    <w:p w14:paraId="3C845376" w14:textId="681A9138" w:rsidR="00CE627B" w:rsidRPr="001F4617" w:rsidRDefault="00AD13CC" w:rsidP="001F4617">
      <w:pPr>
        <w:pStyle w:val="Titre6"/>
        <w:rPr>
          <w:lang w:val="fr-FR"/>
        </w:rPr>
      </w:pPr>
      <w:r w:rsidRPr="001F4617">
        <w:rPr>
          <w:lang w:val="fr-FR"/>
        </w:rPr>
        <w:t>14.</w:t>
      </w:r>
      <w:r w:rsidR="001F4617">
        <w:rPr>
          <w:lang w:val="fr-FR"/>
        </w:rPr>
        <w:t>6</w:t>
      </w:r>
      <w:r w:rsidRPr="001F4617">
        <w:rPr>
          <w:lang w:val="fr-FR"/>
        </w:rPr>
        <w:t xml:space="preserve">.2. </w:t>
      </w:r>
      <w:r w:rsidR="00CE627B" w:rsidRPr="001F4617">
        <w:rPr>
          <w:lang w:val="fr-FR"/>
        </w:rPr>
        <w:t>Informations des personnels concernés</w:t>
      </w:r>
      <w:r w:rsidRPr="001F4617">
        <w:rPr>
          <w:lang w:val="fr-FR"/>
        </w:rPr>
        <w:t> </w:t>
      </w:r>
    </w:p>
    <w:p w14:paraId="3B82A225" w14:textId="77777777" w:rsidR="00CE627B" w:rsidRPr="004A3041" w:rsidRDefault="00CE627B" w:rsidP="00CE627B"/>
    <w:p w14:paraId="1D933BD6" w14:textId="77777777" w:rsidR="00CE627B" w:rsidRPr="004A3041" w:rsidRDefault="00CE627B" w:rsidP="00AD13CC">
      <w:pPr>
        <w:spacing w:after="120"/>
      </w:pPr>
      <w:r w:rsidRPr="004A3041">
        <w:t xml:space="preserve">Le titulaire s’engage à informer les personnels devant participer aux prestations du présent </w:t>
      </w:r>
      <w:r w:rsidR="004735BC" w:rsidRPr="004A3041">
        <w:t>accord-cadre</w:t>
      </w:r>
      <w:r w:rsidRPr="004A3041">
        <w:t xml:space="preserve"> ayant besoin d’accéder au Point d’Importance Vitale :</w:t>
      </w:r>
    </w:p>
    <w:p w14:paraId="346B44C7" w14:textId="77777777" w:rsidR="00CE627B" w:rsidRPr="004A3041" w:rsidRDefault="00CE627B" w:rsidP="00E73B45">
      <w:pPr>
        <w:spacing w:before="60"/>
        <w:ind w:left="284" w:hanging="284"/>
      </w:pPr>
      <w:r w:rsidRPr="004A3041">
        <w:t>-</w:t>
      </w:r>
      <w:r w:rsidRPr="004A3041">
        <w:tab/>
        <w:t>qu’ils sont susceptibles, conformément aux dispositions applicables du code de la défense, de faire l’objet d’une enquête administrative destinée à vérifier qu’aucun fait les concernant sont incompatibles avec l’accès envisagé, et pouvant donner lieu à consultation des traitements automatisés des données personnelles mentionnées à l’article 26 de la loi n°78-17 du 6 janvier 1978.</w:t>
      </w:r>
    </w:p>
    <w:p w14:paraId="123A5D70" w14:textId="77777777" w:rsidR="00CE627B" w:rsidRPr="004A3041" w:rsidRDefault="00CE627B" w:rsidP="00E73B45">
      <w:pPr>
        <w:spacing w:before="60"/>
        <w:ind w:left="284" w:hanging="284"/>
      </w:pPr>
      <w:r w:rsidRPr="004A3041">
        <w:t>-</w:t>
      </w:r>
      <w:r w:rsidRPr="004A3041">
        <w:tab/>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641F4EAD" w14:textId="77777777" w:rsidR="00CE627B" w:rsidRPr="004A3041" w:rsidRDefault="00CE627B" w:rsidP="00CE627B"/>
    <w:p w14:paraId="201A3D82" w14:textId="520011D0" w:rsidR="00CE627B" w:rsidRPr="004A3041" w:rsidRDefault="00CE627B" w:rsidP="00CE627B">
      <w:r w:rsidRPr="004A3041">
        <w:t>Le titulaire s’engage à ne présenter sur le site que des personnels appartenant à son entreprise ou à un sous-traitant qui auront été préalablement fait l’objet d’une autorisation d’accès.</w:t>
      </w:r>
    </w:p>
    <w:p w14:paraId="67B83998" w14:textId="07620D39" w:rsidR="00AD13CC" w:rsidRPr="004A3041" w:rsidRDefault="00AD13CC" w:rsidP="00CE627B"/>
    <w:p w14:paraId="6A2E2CA9" w14:textId="70C2D5A1" w:rsidR="00AD13CC" w:rsidRPr="004A3041" w:rsidRDefault="001F4617" w:rsidP="001F4617">
      <w:pPr>
        <w:pStyle w:val="Titre6"/>
      </w:pPr>
      <w:bookmarkStart w:id="268" w:name="_Toc180140195"/>
      <w:r>
        <w:rPr>
          <w:lang w:val="fr-FR"/>
        </w:rPr>
        <w:t xml:space="preserve">14.6. </w:t>
      </w:r>
      <w:r w:rsidR="00AD13CC" w:rsidRPr="004A3041">
        <w:t>Dispositions applicables aux documents et supports portant la mention « Diffusion restreinte »</w:t>
      </w:r>
      <w:bookmarkEnd w:id="268"/>
    </w:p>
    <w:p w14:paraId="08744E67" w14:textId="77777777" w:rsidR="00AD13CC" w:rsidRPr="004A3041" w:rsidRDefault="00AD13CC" w:rsidP="00AD13CC">
      <w:pPr>
        <w:rPr>
          <w:rFonts w:cs="Arial"/>
        </w:rPr>
      </w:pPr>
    </w:p>
    <w:p w14:paraId="70F07452" w14:textId="073A8E77" w:rsidR="00AD13CC" w:rsidRPr="004A3041" w:rsidRDefault="00AD13CC" w:rsidP="00AD13CC">
      <w:pPr>
        <w:rPr>
          <w:rFonts w:cs="Arial"/>
        </w:rPr>
      </w:pPr>
      <w:r w:rsidRPr="004A3041">
        <w:rPr>
          <w:rFonts w:cs="Arial"/>
        </w:rPr>
        <w:t xml:space="preserve">Le titulaire de l’accord-cadre doit respecter les dispositions de l’instruction générale interministérielle n°1300 sur la protection du secret de la défense nationale, notamment son annexe 1 en ce qu’elles ne sont pas contradictoires avec les stipulations ci-après. </w:t>
      </w:r>
    </w:p>
    <w:p w14:paraId="53AB62C0" w14:textId="77777777" w:rsidR="00AD13CC" w:rsidRPr="004A3041" w:rsidRDefault="00AD13CC" w:rsidP="00AD13CC">
      <w:pPr>
        <w:rPr>
          <w:rFonts w:cs="Arial"/>
        </w:rPr>
      </w:pPr>
    </w:p>
    <w:p w14:paraId="70F84E6B" w14:textId="77777777" w:rsidR="00AD13CC" w:rsidRPr="004A3041" w:rsidRDefault="00AD13CC" w:rsidP="00AD13CC">
      <w:pPr>
        <w:rPr>
          <w:rFonts w:cs="Arial"/>
        </w:rPr>
      </w:pPr>
      <w:r w:rsidRPr="004A3041">
        <w:rPr>
          <w:rFonts w:cs="Arial"/>
        </w:rPr>
        <w:t xml:space="preserve">Dans l’hypothèse où l’administrateur des systèmes d’informations du titulaire n’a pas fait l’objet d’une décision d’habilitation au moins au niveau « Secret », les documents et supports portant la mention « Diffusion restreinte » devront exclusivement être transmis et détenus sur support physique. La reproduction de ces documents est interdite. </w:t>
      </w:r>
    </w:p>
    <w:p w14:paraId="00E54394" w14:textId="77777777" w:rsidR="00AD13CC" w:rsidRPr="004A3041" w:rsidRDefault="00AD13CC" w:rsidP="00AD13CC">
      <w:pPr>
        <w:rPr>
          <w:rFonts w:cs="Arial"/>
        </w:rPr>
      </w:pPr>
    </w:p>
    <w:p w14:paraId="056554F9" w14:textId="77777777" w:rsidR="003040A5" w:rsidRDefault="00AD13CC" w:rsidP="003040A5">
      <w:pPr>
        <w:rPr>
          <w:rFonts w:cs="Arial"/>
        </w:rPr>
      </w:pPr>
      <w:r w:rsidRPr="004A3041">
        <w:rPr>
          <w:rFonts w:cs="Arial"/>
        </w:rPr>
        <w:t>Ces documents et supports doivent être détruits par le titulaire à l’achèvement des prestations qui avaient justifiées leur transmission. Le titulaire atteste de cette destruction par écrit et sans délai auprès de l’autorité visée à l’article 5.1.2 du présent document.</w:t>
      </w:r>
      <w:r w:rsidRPr="001746C0">
        <w:rPr>
          <w:rFonts w:cs="Arial"/>
        </w:rPr>
        <w:t xml:space="preserve"> </w:t>
      </w:r>
      <w:bookmarkStart w:id="269" w:name="_Toc195788053"/>
      <w:bookmarkStart w:id="270" w:name="_Toc507666679"/>
    </w:p>
    <w:p w14:paraId="6EA7FB2E" w14:textId="5D78A523" w:rsidR="003040A5" w:rsidRPr="003040A5" w:rsidRDefault="003040A5" w:rsidP="007E501F">
      <w:pPr>
        <w:pStyle w:val="Titre1"/>
        <w:keepLines/>
        <w:numPr>
          <w:ilvl w:val="0"/>
          <w:numId w:val="0"/>
        </w:numPr>
        <w:spacing w:before="240" w:after="0"/>
        <w:rPr>
          <w:rFonts w:cs="Arial"/>
        </w:rPr>
      </w:pPr>
      <w:bookmarkStart w:id="271" w:name="_Toc207979784"/>
      <w:r w:rsidRPr="007E501F">
        <w:rPr>
          <w:rFonts w:ascii="Arial" w:hAnsi="Arial" w:cs="Arial"/>
          <w:sz w:val="22"/>
          <w:szCs w:val="22"/>
        </w:rPr>
        <w:t>ARTICLE 15 – REGLEMENT GENERAL DE PROTECTION DES DONNEES</w:t>
      </w:r>
      <w:bookmarkEnd w:id="269"/>
      <w:bookmarkEnd w:id="271"/>
    </w:p>
    <w:p w14:paraId="1E592525" w14:textId="77777777" w:rsidR="003040A5" w:rsidRDefault="003040A5" w:rsidP="009F0863">
      <w:pPr>
        <w:jc w:val="left"/>
        <w:rPr>
          <w:b/>
        </w:rPr>
      </w:pPr>
      <w:bookmarkStart w:id="272" w:name="_Toc50109614"/>
      <w:bookmarkStart w:id="273" w:name="_Toc86392184"/>
    </w:p>
    <w:p w14:paraId="3D5BFFFC" w14:textId="77FC1FB4" w:rsidR="003040A5" w:rsidRPr="003040A5" w:rsidRDefault="003040A5" w:rsidP="003040A5">
      <w:pPr>
        <w:spacing w:after="120"/>
        <w:jc w:val="left"/>
        <w:rPr>
          <w:b/>
        </w:rPr>
      </w:pPr>
      <w:r w:rsidRPr="003040A5">
        <w:rPr>
          <w:b/>
        </w:rPr>
        <w:t>15.1. Objet</w:t>
      </w:r>
      <w:bookmarkEnd w:id="272"/>
      <w:bookmarkEnd w:id="273"/>
    </w:p>
    <w:p w14:paraId="0D782C29" w14:textId="77777777" w:rsidR="003040A5" w:rsidRPr="003040A5" w:rsidRDefault="003040A5" w:rsidP="003040A5">
      <w:r w:rsidRPr="003040A5">
        <w:t xml:space="preserve">Conformément à l’article 5.2 du CCAG/PI, les présentes clauses ont pour objet de définir les conditions dans lesquelles le titulaire s’engage à effectuer pour le compte du responsable de traitement les opérations de traitement de données à caractère personnel dans les conditions définies ci-après. </w:t>
      </w:r>
    </w:p>
    <w:p w14:paraId="5642CA8E" w14:textId="77777777" w:rsidR="003040A5" w:rsidRPr="003040A5" w:rsidRDefault="003040A5" w:rsidP="003040A5"/>
    <w:p w14:paraId="5B618320" w14:textId="77777777" w:rsidR="003040A5" w:rsidRPr="003040A5" w:rsidRDefault="003040A5" w:rsidP="003040A5">
      <w:pPr>
        <w:spacing w:after="120"/>
        <w:jc w:val="left"/>
        <w:rPr>
          <w:b/>
        </w:rPr>
      </w:pPr>
      <w:bookmarkStart w:id="274" w:name="_Toc50109615"/>
      <w:bookmarkStart w:id="275" w:name="_Toc86392185"/>
      <w:r w:rsidRPr="003040A5">
        <w:rPr>
          <w:b/>
        </w:rPr>
        <w:t>15.2. Description du traitement</w:t>
      </w:r>
      <w:bookmarkEnd w:id="274"/>
      <w:bookmarkEnd w:id="275"/>
    </w:p>
    <w:p w14:paraId="46F03EC9" w14:textId="77777777" w:rsidR="003040A5" w:rsidRPr="003040A5" w:rsidRDefault="003040A5" w:rsidP="003040A5">
      <w:r w:rsidRPr="003040A5">
        <w:t>Dans le cadre de leurs relations contractuelles, les parties s’engagent à respecter la réglementation en vigueur applicable au traitement de données à caractère personnel et, en particulier, le règlement européen sur la protection des données.</w:t>
      </w:r>
    </w:p>
    <w:p w14:paraId="09A58EE6" w14:textId="75EC0A5C" w:rsidR="003040A5" w:rsidRPr="003040A5" w:rsidRDefault="003040A5" w:rsidP="003040A5">
      <w:pPr>
        <w:spacing w:before="120"/>
      </w:pPr>
      <w:r w:rsidRPr="003040A5">
        <w:t>Dans le cadre d</w:t>
      </w:r>
      <w:r w:rsidR="00C70EC3">
        <w:t>e l’observatoire n°2026-02 intitulé « Observatoire de l'Afrique de l'est, centrale et australe</w:t>
      </w:r>
      <w:r w:rsidRPr="003040A5">
        <w:t> », le titulaire est autorisé à traiter pour le compte du responsable de traitement les données à caractère personnel nécessaires pour four</w:t>
      </w:r>
      <w:r w:rsidR="002D0F1F">
        <w:t xml:space="preserve">nir les prestations suivantes : </w:t>
      </w:r>
      <w:r w:rsidRPr="003040A5">
        <w:t>l’organisation de</w:t>
      </w:r>
      <w:r w:rsidR="002D0F1F">
        <w:t xml:space="preserve">s restitutions orales, des cafés/débats, </w:t>
      </w:r>
      <w:r w:rsidRPr="003040A5">
        <w:t>de</w:t>
      </w:r>
      <w:r w:rsidR="00CB4131">
        <w:t xml:space="preserve">s réunions </w:t>
      </w:r>
      <w:r w:rsidR="00F44CDE">
        <w:t xml:space="preserve">de travail </w:t>
      </w:r>
      <w:r w:rsidR="00CB4131">
        <w:t>et des</w:t>
      </w:r>
      <w:r w:rsidRPr="003040A5">
        <w:t xml:space="preserve"> séminaires</w:t>
      </w:r>
      <w:r w:rsidR="002D0F1F">
        <w:t>.</w:t>
      </w:r>
    </w:p>
    <w:p w14:paraId="2F67B3EB" w14:textId="033D7165" w:rsidR="003040A5" w:rsidRDefault="003040A5" w:rsidP="003040A5">
      <w:pPr>
        <w:spacing w:before="120"/>
      </w:pPr>
      <w:r w:rsidRPr="003040A5">
        <w:t>La nature des opérations réalisées sur les données est le traitement de ces informations pour l’exécution des tâches et des prestations du présent accord-cadre et plus spécifiquement l’envoi d’invitation et d’information relative aux évènements ainsi que la maîtrise des données de participation.</w:t>
      </w:r>
    </w:p>
    <w:p w14:paraId="6733D9A6" w14:textId="77777777" w:rsidR="00B74FDC" w:rsidRPr="003040A5" w:rsidRDefault="00B74FDC" w:rsidP="003040A5">
      <w:pPr>
        <w:spacing w:before="120"/>
      </w:pPr>
    </w:p>
    <w:p w14:paraId="0AB3FE76" w14:textId="1D46F105" w:rsidR="00B74FDC" w:rsidRPr="00B74FDC" w:rsidRDefault="00732267" w:rsidP="00B74FDC">
      <w:pPr>
        <w:autoSpaceDE w:val="0"/>
        <w:autoSpaceDN w:val="0"/>
        <w:adjustRightInd w:val="0"/>
        <w:rPr>
          <w:rFonts w:cs="Arial"/>
          <w:color w:val="000000"/>
        </w:rPr>
      </w:pPr>
      <w:r w:rsidRPr="003040A5">
        <w:t xml:space="preserve">Les finalités du traitement sont l’exécution des prestations citées supra dédiées à </w:t>
      </w:r>
      <w:r>
        <w:t>l’observatoire n°2026-02 intitulé « Observatoire de l'Afrique de l'est, centrale et australe</w:t>
      </w:r>
      <w:r w:rsidRPr="003040A5">
        <w:t> »</w:t>
      </w:r>
      <w:r>
        <w:t>.</w:t>
      </w:r>
    </w:p>
    <w:p w14:paraId="498EFA47" w14:textId="69F02064" w:rsidR="00B74FDC" w:rsidRPr="00B74FDC" w:rsidRDefault="00B74FDC" w:rsidP="00B74FDC">
      <w:pPr>
        <w:rPr>
          <w:rFonts w:cs="Arial"/>
        </w:rPr>
      </w:pPr>
      <w:r w:rsidRPr="00B74FDC">
        <w:rPr>
          <w:rFonts w:cs="Arial"/>
        </w:rPr>
        <w:t xml:space="preserve">Les données à caractère personnel traitées sont : les </w:t>
      </w:r>
      <w:proofErr w:type="spellStart"/>
      <w:r w:rsidRPr="00B74FDC">
        <w:rPr>
          <w:rFonts w:cs="Arial"/>
        </w:rPr>
        <w:t>biodatas</w:t>
      </w:r>
      <w:proofErr w:type="spellEnd"/>
      <w:r w:rsidRPr="00B74FDC">
        <w:rPr>
          <w:rFonts w:cs="Arial"/>
        </w:rPr>
        <w:t xml:space="preserve"> des participants (nom, prénom, courriel électronique) ainsi que les coordonnées de leur entité d’appartenance (numéro de téléphone, adresse, fonction exercée au sein de l’entité).</w:t>
      </w:r>
    </w:p>
    <w:p w14:paraId="0A6F6D47" w14:textId="35E9131C" w:rsidR="003040A5" w:rsidRPr="003040A5" w:rsidRDefault="003040A5" w:rsidP="003040A5">
      <w:pPr>
        <w:spacing w:before="120"/>
      </w:pPr>
      <w:r w:rsidRPr="003040A5">
        <w:t xml:space="preserve">Pour l’exécution du service objet du présent contrat, le responsable de traitement met à la disposition du titulaire les informations nécessaires et précisées ci-dessus. </w:t>
      </w:r>
    </w:p>
    <w:p w14:paraId="6FBFE4BA" w14:textId="77777777" w:rsidR="003040A5" w:rsidRPr="003040A5" w:rsidRDefault="003040A5" w:rsidP="003040A5"/>
    <w:p w14:paraId="2FB6ACA8" w14:textId="77777777" w:rsidR="003040A5" w:rsidRPr="003040A5" w:rsidRDefault="003040A5" w:rsidP="003040A5">
      <w:pPr>
        <w:spacing w:after="120"/>
        <w:jc w:val="left"/>
        <w:rPr>
          <w:b/>
        </w:rPr>
      </w:pPr>
      <w:bookmarkStart w:id="276" w:name="_Toc50109616"/>
      <w:bookmarkStart w:id="277" w:name="_Toc86392186"/>
      <w:r w:rsidRPr="003040A5">
        <w:rPr>
          <w:b/>
        </w:rPr>
        <w:t>15.3. Obligations du titulaire vis-à-vis du responsable de traitement</w:t>
      </w:r>
      <w:bookmarkEnd w:id="276"/>
      <w:bookmarkEnd w:id="277"/>
    </w:p>
    <w:p w14:paraId="0E0A70E4" w14:textId="77777777" w:rsidR="003040A5" w:rsidRPr="003040A5" w:rsidRDefault="003040A5" w:rsidP="003040A5">
      <w:pPr>
        <w:keepNext/>
        <w:numPr>
          <w:ilvl w:val="1"/>
          <w:numId w:val="0"/>
        </w:numPr>
        <w:spacing w:after="120"/>
        <w:outlineLvl w:val="5"/>
        <w:rPr>
          <w:rFonts w:eastAsia="Times New Roman" w:cs="Arial"/>
          <w:b/>
          <w:bCs/>
          <w:lang w:val="x-none" w:eastAsia="x-none"/>
        </w:rPr>
      </w:pPr>
      <w:bookmarkStart w:id="278" w:name="_Toc86392187"/>
      <w:r w:rsidRPr="003040A5">
        <w:rPr>
          <w:rFonts w:eastAsia="Times New Roman" w:cs="Arial"/>
          <w:b/>
          <w:bCs/>
          <w:lang w:val="x-none" w:eastAsia="x-none"/>
        </w:rPr>
        <w:t>15.3.1. Confidentialité des données</w:t>
      </w:r>
      <w:bookmarkEnd w:id="278"/>
    </w:p>
    <w:p w14:paraId="419995B9" w14:textId="77777777" w:rsidR="003040A5" w:rsidRPr="003040A5" w:rsidRDefault="003040A5" w:rsidP="003040A5">
      <w:r w:rsidRPr="003040A5">
        <w:t xml:space="preserve">Le titulaire s'engage à : </w:t>
      </w:r>
    </w:p>
    <w:p w14:paraId="3C11AB35" w14:textId="77777777" w:rsidR="003040A5" w:rsidRPr="003040A5" w:rsidRDefault="003040A5" w:rsidP="003040A5">
      <w:pPr>
        <w:numPr>
          <w:ilvl w:val="0"/>
          <w:numId w:val="40"/>
        </w:numPr>
        <w:spacing w:before="60"/>
        <w:ind w:left="357" w:hanging="357"/>
        <w:rPr>
          <w:rFonts w:eastAsia="Times New Roman"/>
          <w:lang w:eastAsia="en-US"/>
        </w:rPr>
      </w:pPr>
      <w:proofErr w:type="gramStart"/>
      <w:r w:rsidRPr="003040A5">
        <w:rPr>
          <w:rFonts w:eastAsia="Times New Roman"/>
          <w:lang w:eastAsia="en-US"/>
        </w:rPr>
        <w:t>traiter</w:t>
      </w:r>
      <w:proofErr w:type="gramEnd"/>
      <w:r w:rsidRPr="003040A5">
        <w:rPr>
          <w:rFonts w:eastAsia="Times New Roman"/>
          <w:lang w:eastAsia="en-US"/>
        </w:rPr>
        <w:t xml:space="preserve"> les données uniquement pour les seules finalités qui font l’objet de l’accord-cadre ;</w:t>
      </w:r>
    </w:p>
    <w:p w14:paraId="0CE1D14C" w14:textId="77777777" w:rsidR="003040A5" w:rsidRPr="003040A5" w:rsidRDefault="003040A5" w:rsidP="003040A5">
      <w:pPr>
        <w:numPr>
          <w:ilvl w:val="0"/>
          <w:numId w:val="40"/>
        </w:numPr>
        <w:spacing w:before="60"/>
        <w:ind w:left="357" w:hanging="357"/>
        <w:rPr>
          <w:rFonts w:eastAsia="Times New Roman"/>
          <w:lang w:eastAsia="en-US"/>
        </w:rPr>
      </w:pPr>
      <w:proofErr w:type="gramStart"/>
      <w:r w:rsidRPr="003040A5">
        <w:rPr>
          <w:rFonts w:eastAsia="Times New Roman"/>
          <w:lang w:eastAsia="en-US"/>
        </w:rPr>
        <w:t>traiter</w:t>
      </w:r>
      <w:proofErr w:type="gramEnd"/>
      <w:r w:rsidRPr="003040A5">
        <w:rPr>
          <w:rFonts w:eastAsia="Times New Roman"/>
          <w:lang w:eastAsia="en-US"/>
        </w:rPr>
        <w:t xml:space="preserve"> les données conformément aux instructions du responsable de traitement. </w:t>
      </w:r>
    </w:p>
    <w:p w14:paraId="4E26F732" w14:textId="77777777" w:rsidR="003040A5" w:rsidRPr="003040A5" w:rsidRDefault="003040A5" w:rsidP="003040A5">
      <w:pPr>
        <w:spacing w:before="120"/>
      </w:pPr>
      <w:r w:rsidRPr="003040A5">
        <w:t xml:space="preserve">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47E627E8" w14:textId="77777777" w:rsidR="003040A5" w:rsidRPr="003040A5" w:rsidRDefault="003040A5" w:rsidP="003040A5">
      <w:pPr>
        <w:spacing w:before="120"/>
      </w:pPr>
      <w:r w:rsidRPr="003040A5">
        <w:t xml:space="preserve">Il ne doit pas procéder au transfert des données sans avoir obtenu l’autorisation préalable du responsable de traitement. </w:t>
      </w:r>
    </w:p>
    <w:p w14:paraId="6395DAF4" w14:textId="77777777" w:rsidR="003040A5" w:rsidRPr="003040A5" w:rsidRDefault="003040A5" w:rsidP="003040A5">
      <w:pPr>
        <w:numPr>
          <w:ilvl w:val="0"/>
          <w:numId w:val="40"/>
        </w:numPr>
        <w:spacing w:before="60"/>
        <w:ind w:hanging="357"/>
        <w:rPr>
          <w:rFonts w:eastAsia="Times New Roman"/>
          <w:lang w:eastAsia="en-US"/>
        </w:rPr>
      </w:pPr>
      <w:proofErr w:type="gramStart"/>
      <w:r w:rsidRPr="003040A5">
        <w:rPr>
          <w:rFonts w:eastAsia="Times New Roman"/>
          <w:lang w:eastAsia="en-US"/>
        </w:rPr>
        <w:t>garantir</w:t>
      </w:r>
      <w:proofErr w:type="gramEnd"/>
      <w:r w:rsidRPr="003040A5">
        <w:rPr>
          <w:rFonts w:eastAsia="Times New Roman"/>
          <w:lang w:eastAsia="en-US"/>
        </w:rPr>
        <w:t xml:space="preserve"> la confidentialité des données à caractère personnel traitées dans le cadre du présent contrat. </w:t>
      </w:r>
    </w:p>
    <w:p w14:paraId="06FD9D28" w14:textId="77777777" w:rsidR="003040A5" w:rsidRPr="003040A5" w:rsidRDefault="003040A5" w:rsidP="003040A5">
      <w:pPr>
        <w:numPr>
          <w:ilvl w:val="0"/>
          <w:numId w:val="40"/>
        </w:numPr>
        <w:spacing w:before="60"/>
        <w:ind w:hanging="357"/>
        <w:rPr>
          <w:rFonts w:eastAsia="Times New Roman"/>
          <w:lang w:eastAsia="en-US"/>
        </w:rPr>
      </w:pPr>
      <w:proofErr w:type="gramStart"/>
      <w:r w:rsidRPr="003040A5">
        <w:rPr>
          <w:rFonts w:eastAsia="Times New Roman"/>
          <w:lang w:eastAsia="en-US"/>
        </w:rPr>
        <w:t>veiller</w:t>
      </w:r>
      <w:proofErr w:type="gramEnd"/>
      <w:r w:rsidRPr="003040A5">
        <w:rPr>
          <w:rFonts w:eastAsia="Times New Roman"/>
          <w:lang w:eastAsia="en-US"/>
        </w:rPr>
        <w:t xml:space="preserve"> à ce que les personnes autorisées à traiter les données à caractère personnel en vertu du présent contrat : </w:t>
      </w:r>
    </w:p>
    <w:p w14:paraId="4A82CB31" w14:textId="77777777" w:rsidR="003040A5" w:rsidRPr="003040A5" w:rsidRDefault="003040A5" w:rsidP="003040A5">
      <w:pPr>
        <w:numPr>
          <w:ilvl w:val="1"/>
          <w:numId w:val="40"/>
        </w:numPr>
        <w:spacing w:before="60"/>
        <w:ind w:hanging="357"/>
        <w:rPr>
          <w:rFonts w:eastAsia="Times New Roman"/>
          <w:lang w:eastAsia="en-US"/>
        </w:rPr>
      </w:pPr>
      <w:proofErr w:type="gramStart"/>
      <w:r w:rsidRPr="003040A5">
        <w:rPr>
          <w:rFonts w:eastAsia="Times New Roman"/>
          <w:lang w:eastAsia="en-US"/>
        </w:rPr>
        <w:t>s’engagent</w:t>
      </w:r>
      <w:proofErr w:type="gramEnd"/>
      <w:r w:rsidRPr="003040A5">
        <w:rPr>
          <w:rFonts w:eastAsia="Times New Roman"/>
          <w:lang w:eastAsia="en-US"/>
        </w:rPr>
        <w:t xml:space="preserve"> à respecter la confidentialité ou soient soumises à une obligation légale appropriée de confidentialité ; </w:t>
      </w:r>
    </w:p>
    <w:p w14:paraId="16B9F178" w14:textId="77777777" w:rsidR="003040A5" w:rsidRPr="003040A5" w:rsidRDefault="003040A5" w:rsidP="003040A5">
      <w:pPr>
        <w:numPr>
          <w:ilvl w:val="1"/>
          <w:numId w:val="40"/>
        </w:numPr>
        <w:spacing w:before="60"/>
        <w:ind w:hanging="357"/>
        <w:rPr>
          <w:rFonts w:eastAsia="Times New Roman"/>
          <w:lang w:eastAsia="en-US"/>
        </w:rPr>
      </w:pPr>
      <w:proofErr w:type="gramStart"/>
      <w:r w:rsidRPr="003040A5">
        <w:rPr>
          <w:rFonts w:eastAsia="Times New Roman"/>
          <w:lang w:eastAsia="en-US"/>
        </w:rPr>
        <w:t>reçoivent</w:t>
      </w:r>
      <w:proofErr w:type="gramEnd"/>
      <w:r w:rsidRPr="003040A5">
        <w:rPr>
          <w:rFonts w:eastAsia="Times New Roman"/>
          <w:lang w:eastAsia="en-US"/>
        </w:rPr>
        <w:t xml:space="preserve"> la formation nécessaire en matière de protection des données à caractère personnel. </w:t>
      </w:r>
    </w:p>
    <w:p w14:paraId="767133D3" w14:textId="77777777" w:rsidR="003040A5" w:rsidRPr="003040A5" w:rsidRDefault="003040A5" w:rsidP="003040A5">
      <w:pPr>
        <w:numPr>
          <w:ilvl w:val="0"/>
          <w:numId w:val="40"/>
        </w:numPr>
        <w:spacing w:before="60" w:after="120"/>
        <w:ind w:left="363" w:hanging="357"/>
        <w:rPr>
          <w:rFonts w:eastAsia="Times New Roman"/>
          <w:lang w:eastAsia="en-US"/>
        </w:rPr>
      </w:pPr>
      <w:proofErr w:type="gramStart"/>
      <w:r w:rsidRPr="003040A5">
        <w:rPr>
          <w:rFonts w:eastAsia="Times New Roman"/>
          <w:lang w:eastAsia="en-US"/>
        </w:rPr>
        <w:t>prendre</w:t>
      </w:r>
      <w:proofErr w:type="gramEnd"/>
      <w:r w:rsidRPr="003040A5">
        <w:rPr>
          <w:rFonts w:eastAsia="Times New Roman"/>
          <w:lang w:eastAsia="en-US"/>
        </w:rPr>
        <w:t xml:space="preserve"> en compte, s’agissant de ses outils, produits, applications ou services, les principes de protection des données dès la conception et de protection des données par défaut. </w:t>
      </w:r>
    </w:p>
    <w:p w14:paraId="6FDE1E6F" w14:textId="77777777" w:rsidR="003040A5" w:rsidRPr="003040A5" w:rsidRDefault="003040A5" w:rsidP="003040A5">
      <w:pPr>
        <w:keepNext/>
        <w:numPr>
          <w:ilvl w:val="1"/>
          <w:numId w:val="0"/>
        </w:numPr>
        <w:spacing w:after="120"/>
        <w:outlineLvl w:val="5"/>
        <w:rPr>
          <w:rFonts w:eastAsia="Times New Roman" w:cs="Arial"/>
          <w:b/>
          <w:bCs/>
          <w:lang w:val="x-none" w:eastAsia="x-none"/>
        </w:rPr>
      </w:pPr>
      <w:bookmarkStart w:id="279" w:name="_Toc86392188"/>
      <w:r w:rsidRPr="003040A5">
        <w:rPr>
          <w:rFonts w:eastAsia="Times New Roman" w:cs="Arial"/>
          <w:b/>
          <w:bCs/>
          <w:lang w:val="x-none" w:eastAsia="x-none"/>
        </w:rPr>
        <w:t>15.3.2. Sous-traitance de niveau 2</w:t>
      </w:r>
      <w:bookmarkEnd w:id="279"/>
    </w:p>
    <w:p w14:paraId="37428109" w14:textId="77777777" w:rsidR="003040A5" w:rsidRPr="003040A5" w:rsidRDefault="003040A5" w:rsidP="003040A5">
      <w:r w:rsidRPr="003040A5">
        <w:t xml:space="preserve">Le titulaire de l’accord-cadre peut faire appel à un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w:t>
      </w:r>
    </w:p>
    <w:p w14:paraId="0D5D01BA" w14:textId="77777777" w:rsidR="003040A5" w:rsidRPr="003040A5" w:rsidRDefault="003040A5" w:rsidP="003040A5">
      <w:pPr>
        <w:spacing w:before="120"/>
      </w:pPr>
      <w:r w:rsidRPr="003040A5">
        <w:t xml:space="preserve">Le responsable de traitement dispose d’un délai minimum de sept (7) jours à compter de la date de réception de cette information pour présenter ses objections. Cette sous-traitance ne peut être effectuée que si le responsable de traitement n'a pas émis d'objection pendant le délai convenu. </w:t>
      </w:r>
    </w:p>
    <w:p w14:paraId="4417ECAD" w14:textId="77777777" w:rsidR="003040A5" w:rsidRPr="003040A5" w:rsidRDefault="003040A5" w:rsidP="003040A5">
      <w:pPr>
        <w:spacing w:before="120" w:after="120"/>
      </w:pPr>
      <w:r w:rsidRPr="003040A5">
        <w:t xml:space="preserve">Le sous-traitant ultérieur est tenu de respecter les obligations du présent contrat pour le compte et selon les instructions du responsable de traitement.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w:t>
      </w:r>
      <w:r w:rsidRPr="003040A5">
        <w:lastRenderedPageBreak/>
        <w:t xml:space="preserve">des données, le titulaire de l’accord-cadre demeure pleinement responsable devant le responsable de traitement de l’exécution par l’autre sous-traitant de ses obligations. </w:t>
      </w:r>
    </w:p>
    <w:p w14:paraId="64DF73D9" w14:textId="77777777" w:rsidR="003040A5" w:rsidRPr="003040A5" w:rsidRDefault="003040A5" w:rsidP="003040A5">
      <w:pPr>
        <w:keepNext/>
        <w:numPr>
          <w:ilvl w:val="1"/>
          <w:numId w:val="0"/>
        </w:numPr>
        <w:spacing w:after="120"/>
        <w:outlineLvl w:val="5"/>
        <w:rPr>
          <w:rFonts w:eastAsia="Times New Roman" w:cs="Arial"/>
          <w:b/>
          <w:bCs/>
          <w:lang w:val="x-none" w:eastAsia="x-none"/>
        </w:rPr>
      </w:pPr>
      <w:bookmarkStart w:id="280" w:name="_Toc86392189"/>
      <w:r w:rsidRPr="003040A5">
        <w:rPr>
          <w:rFonts w:eastAsia="Times New Roman" w:cs="Arial"/>
          <w:b/>
          <w:bCs/>
          <w:lang w:val="x-none" w:eastAsia="x-none"/>
        </w:rPr>
        <w:t>15.3.3. Droit d’information des personnes concernées</w:t>
      </w:r>
      <w:bookmarkEnd w:id="280"/>
    </w:p>
    <w:p w14:paraId="6B6C4537" w14:textId="77777777" w:rsidR="003040A5" w:rsidRPr="003040A5" w:rsidRDefault="003040A5" w:rsidP="003040A5">
      <w:pPr>
        <w:spacing w:after="120"/>
      </w:pPr>
      <w:r w:rsidRPr="003040A5">
        <w:t>Il appartient au responsable de traitement de fournir l’information aux personnes concernées par les opérations de traitement au moment de la collecte des données.</w:t>
      </w:r>
      <w:bookmarkStart w:id="281" w:name="_Toc86392190"/>
    </w:p>
    <w:p w14:paraId="33A832B6" w14:textId="77777777" w:rsidR="003040A5" w:rsidRPr="003040A5" w:rsidRDefault="003040A5" w:rsidP="003040A5">
      <w:pPr>
        <w:spacing w:after="120"/>
        <w:rPr>
          <w:rFonts w:eastAsia="Times New Roman" w:cs="Arial"/>
          <w:b/>
          <w:bCs/>
          <w:lang w:val="x-none" w:eastAsia="x-none"/>
        </w:rPr>
      </w:pPr>
      <w:r w:rsidRPr="003040A5">
        <w:rPr>
          <w:rFonts w:eastAsia="Times New Roman" w:cs="Arial"/>
          <w:b/>
          <w:bCs/>
          <w:lang w:val="x-none" w:eastAsia="x-none"/>
        </w:rPr>
        <w:t>15.3.4. Exercice des droits des personnes</w:t>
      </w:r>
      <w:bookmarkEnd w:id="281"/>
    </w:p>
    <w:p w14:paraId="56AE40F7" w14:textId="77777777" w:rsidR="003040A5" w:rsidRPr="003040A5" w:rsidRDefault="003040A5" w:rsidP="003040A5">
      <w:pPr>
        <w:spacing w:after="120"/>
      </w:pPr>
      <w:r w:rsidRPr="003040A5">
        <w:t xml:space="preserve">Dans la mesure du possible, le titulaire doit aider le responsable de traitement à s’acquitter de son obligation de donner suite aux demandes d’exercice des droits des personnes concernées (en particulier : droit d’accès et de rectification). </w:t>
      </w:r>
    </w:p>
    <w:p w14:paraId="75FF1D31" w14:textId="77777777" w:rsidR="003040A5" w:rsidRPr="003040A5" w:rsidRDefault="003040A5" w:rsidP="003040A5">
      <w:pPr>
        <w:keepNext/>
        <w:numPr>
          <w:ilvl w:val="1"/>
          <w:numId w:val="0"/>
        </w:numPr>
        <w:spacing w:after="120"/>
        <w:outlineLvl w:val="5"/>
        <w:rPr>
          <w:rFonts w:eastAsia="Times New Roman" w:cs="Arial"/>
          <w:b/>
          <w:bCs/>
          <w:lang w:val="x-none" w:eastAsia="x-none"/>
        </w:rPr>
      </w:pPr>
      <w:bookmarkStart w:id="282" w:name="_Toc86392191"/>
      <w:r w:rsidRPr="003040A5">
        <w:rPr>
          <w:rFonts w:eastAsia="Times New Roman" w:cs="Arial"/>
          <w:b/>
          <w:bCs/>
          <w:lang w:val="x-none" w:eastAsia="x-none"/>
        </w:rPr>
        <w:t>15.3.5. Violation des données</w:t>
      </w:r>
      <w:bookmarkEnd w:id="282"/>
    </w:p>
    <w:p w14:paraId="570FDC5B" w14:textId="77777777" w:rsidR="003040A5" w:rsidRPr="003040A5" w:rsidRDefault="003040A5" w:rsidP="003040A5">
      <w:r w:rsidRPr="003040A5">
        <w:t xml:space="preserve">Le titulaire notifie au responsable de traitement toute violation de données à caractère personnel dès qu’il en a connaissance, par le moyen d’un appel téléphonique accompagné d’un courriel envoyé au responsable de traitement et à la personne habilitée à suivre et à contrôler l’exécution des prestations dont les coordonnées sont précisées à l’article 5.1.2 du présent document lors de la notification du présent accord-cadre </w:t>
      </w:r>
      <w:r w:rsidRPr="003040A5" w:rsidDel="00A61ABB">
        <w:t xml:space="preserve"> </w:t>
      </w:r>
    </w:p>
    <w:p w14:paraId="16857D22" w14:textId="77777777" w:rsidR="003040A5" w:rsidRPr="003040A5" w:rsidRDefault="003040A5" w:rsidP="003040A5">
      <w:r w:rsidRPr="003040A5">
        <w:t xml:space="preserve">Cette notification est accompagnée de toute documentation utile afin de permettre au responsable de traitement, si nécessaire, de notifier cette violation à la CNIL. Le titulaire est tenu de communiquer au responsable de traitement toute information complémentaire, nécessaire à la notification.  </w:t>
      </w:r>
    </w:p>
    <w:p w14:paraId="1A1E2E50" w14:textId="77777777" w:rsidR="003040A5" w:rsidRPr="003040A5" w:rsidRDefault="003040A5" w:rsidP="003040A5">
      <w:pPr>
        <w:spacing w:after="120"/>
      </w:pPr>
      <w:r w:rsidRPr="003040A5">
        <w:t xml:space="preserve">La notification des violations est transmise à la CNIL par le délégué à la protection des données du ministère des Armées. </w:t>
      </w:r>
    </w:p>
    <w:p w14:paraId="12E365F1" w14:textId="77777777" w:rsidR="003040A5" w:rsidRPr="003040A5" w:rsidRDefault="003040A5" w:rsidP="003040A5">
      <w:pPr>
        <w:keepNext/>
        <w:numPr>
          <w:ilvl w:val="1"/>
          <w:numId w:val="0"/>
        </w:numPr>
        <w:spacing w:after="120"/>
        <w:outlineLvl w:val="5"/>
        <w:rPr>
          <w:rFonts w:eastAsia="Times New Roman" w:cs="Arial"/>
          <w:b/>
          <w:bCs/>
          <w:lang w:val="x-none" w:eastAsia="x-none"/>
        </w:rPr>
      </w:pPr>
      <w:bookmarkStart w:id="283" w:name="_Toc86392192"/>
      <w:r w:rsidRPr="003040A5">
        <w:rPr>
          <w:rFonts w:eastAsia="Times New Roman" w:cs="Arial"/>
          <w:b/>
          <w:bCs/>
          <w:lang w:val="x-none" w:eastAsia="x-none"/>
        </w:rPr>
        <w:t>15.3.6. Analyse d’impact</w:t>
      </w:r>
      <w:bookmarkEnd w:id="283"/>
      <w:r w:rsidRPr="003040A5">
        <w:rPr>
          <w:rFonts w:eastAsia="Times New Roman" w:cs="Arial"/>
          <w:b/>
          <w:bCs/>
          <w:lang w:val="x-none" w:eastAsia="x-none"/>
        </w:rPr>
        <w:t xml:space="preserve"> </w:t>
      </w:r>
    </w:p>
    <w:p w14:paraId="38CA8ED7" w14:textId="77777777" w:rsidR="003040A5" w:rsidRPr="003040A5" w:rsidRDefault="003040A5" w:rsidP="003040A5">
      <w:r w:rsidRPr="003040A5">
        <w:t xml:space="preserve">Le titulaire aide le responsable de traitement pour la réalisation d’analyses d’impact relative à la protection des données. </w:t>
      </w:r>
    </w:p>
    <w:p w14:paraId="4DD6A219" w14:textId="77777777" w:rsidR="003040A5" w:rsidRPr="003040A5" w:rsidRDefault="003040A5" w:rsidP="003040A5">
      <w:pPr>
        <w:spacing w:after="120"/>
      </w:pPr>
      <w:r w:rsidRPr="003040A5">
        <w:t xml:space="preserve">Le titulaire conseille le responsable de traitement en cas de consultation de la CNIL sur l’analyse d’impact réalisée. Cependant, celle-ci est présentée à la CNIL par le délégué à la protection des données du ministère des Armées. </w:t>
      </w:r>
    </w:p>
    <w:p w14:paraId="3E158AAC" w14:textId="77777777" w:rsidR="003040A5" w:rsidRPr="003040A5" w:rsidRDefault="003040A5" w:rsidP="003040A5">
      <w:pPr>
        <w:keepNext/>
        <w:numPr>
          <w:ilvl w:val="1"/>
          <w:numId w:val="0"/>
        </w:numPr>
        <w:spacing w:after="120"/>
        <w:outlineLvl w:val="5"/>
        <w:rPr>
          <w:rFonts w:eastAsia="Times New Roman" w:cs="Arial"/>
          <w:b/>
          <w:bCs/>
          <w:lang w:val="x-none" w:eastAsia="x-none"/>
        </w:rPr>
      </w:pPr>
      <w:bookmarkStart w:id="284" w:name="_Toc86392193"/>
      <w:r w:rsidRPr="003040A5">
        <w:rPr>
          <w:rFonts w:eastAsia="Times New Roman" w:cs="Arial"/>
          <w:b/>
          <w:bCs/>
          <w:lang w:val="x-none" w:eastAsia="x-none"/>
        </w:rPr>
        <w:t>15.3.7. Sécurité des données</w:t>
      </w:r>
      <w:bookmarkEnd w:id="284"/>
    </w:p>
    <w:p w14:paraId="5B75D069" w14:textId="77777777" w:rsidR="003040A5" w:rsidRPr="003040A5" w:rsidRDefault="003040A5" w:rsidP="003040A5">
      <w:r w:rsidRPr="003040A5">
        <w:t>Le titulaire met en œuvre les mesures de sécurisation des données nécessaires :</w:t>
      </w:r>
    </w:p>
    <w:p w14:paraId="51C92383" w14:textId="77777777" w:rsidR="003040A5" w:rsidRPr="003040A5" w:rsidRDefault="003040A5" w:rsidP="003040A5">
      <w:pPr>
        <w:tabs>
          <w:tab w:val="left" w:pos="284"/>
        </w:tabs>
        <w:spacing w:before="60"/>
        <w:rPr>
          <w:iCs/>
          <w:color w:val="000000" w:themeColor="text1"/>
        </w:rPr>
      </w:pPr>
      <w:r w:rsidRPr="003040A5">
        <w:rPr>
          <w:iCs/>
          <w:color w:val="000000" w:themeColor="text1"/>
        </w:rPr>
        <w:t>-</w:t>
      </w:r>
      <w:r w:rsidRPr="003040A5">
        <w:rPr>
          <w:iCs/>
          <w:color w:val="000000" w:themeColor="text1"/>
        </w:rPr>
        <w:tab/>
        <w:t xml:space="preserve">les données sont </w:t>
      </w:r>
      <w:proofErr w:type="spellStart"/>
      <w:r w:rsidRPr="003040A5">
        <w:rPr>
          <w:iCs/>
          <w:color w:val="000000" w:themeColor="text1"/>
        </w:rPr>
        <w:t>pseudonymisées</w:t>
      </w:r>
      <w:proofErr w:type="spellEnd"/>
      <w:r w:rsidRPr="003040A5">
        <w:rPr>
          <w:iCs/>
          <w:color w:val="000000" w:themeColor="text1"/>
        </w:rPr>
        <w:t> ;</w:t>
      </w:r>
    </w:p>
    <w:p w14:paraId="2C642A7D" w14:textId="77777777" w:rsidR="003040A5" w:rsidRPr="003040A5" w:rsidRDefault="003040A5" w:rsidP="003040A5">
      <w:pPr>
        <w:tabs>
          <w:tab w:val="left" w:pos="284"/>
        </w:tabs>
        <w:spacing w:before="60"/>
        <w:rPr>
          <w:color w:val="000000" w:themeColor="text1"/>
        </w:rPr>
      </w:pPr>
      <w:r w:rsidRPr="003040A5">
        <w:rPr>
          <w:iCs/>
          <w:color w:val="000000" w:themeColor="text1"/>
        </w:rPr>
        <w:t>-</w:t>
      </w:r>
      <w:r w:rsidRPr="003040A5">
        <w:rPr>
          <w:iCs/>
          <w:color w:val="000000" w:themeColor="text1"/>
        </w:rPr>
        <w:tab/>
        <w:t>les droits d’accès aux données sont limités aux seules finalités qui font l’objet du contrat.</w:t>
      </w:r>
      <w:r w:rsidRPr="003040A5">
        <w:rPr>
          <w:color w:val="000000" w:themeColor="text1"/>
        </w:rPr>
        <w:t xml:space="preserve"> </w:t>
      </w:r>
    </w:p>
    <w:p w14:paraId="19BEC558" w14:textId="77777777" w:rsidR="003040A5" w:rsidRPr="003040A5" w:rsidRDefault="003040A5" w:rsidP="003040A5">
      <w:pPr>
        <w:rPr>
          <w:color w:val="000000" w:themeColor="text1"/>
        </w:rPr>
      </w:pPr>
    </w:p>
    <w:p w14:paraId="46A582D5" w14:textId="77777777" w:rsidR="003040A5" w:rsidRPr="003040A5" w:rsidRDefault="003040A5" w:rsidP="003040A5">
      <w:pPr>
        <w:keepNext/>
        <w:numPr>
          <w:ilvl w:val="1"/>
          <w:numId w:val="0"/>
        </w:numPr>
        <w:spacing w:after="120"/>
        <w:outlineLvl w:val="5"/>
        <w:rPr>
          <w:rFonts w:eastAsia="Times New Roman" w:cs="Arial"/>
          <w:b/>
          <w:bCs/>
          <w:lang w:val="x-none" w:eastAsia="x-none"/>
        </w:rPr>
      </w:pPr>
      <w:bookmarkStart w:id="285" w:name="_Toc86392194"/>
      <w:r w:rsidRPr="003040A5">
        <w:rPr>
          <w:rFonts w:eastAsia="Times New Roman" w:cs="Arial"/>
          <w:b/>
          <w:bCs/>
          <w:lang w:val="x-none" w:eastAsia="x-none"/>
        </w:rPr>
        <w:t>15.3.8. Devenir des données au terme de la prestation</w:t>
      </w:r>
      <w:bookmarkEnd w:id="285"/>
    </w:p>
    <w:p w14:paraId="5698F241" w14:textId="77777777" w:rsidR="003040A5" w:rsidRPr="003040A5" w:rsidRDefault="003040A5" w:rsidP="003040A5">
      <w:pPr>
        <w:spacing w:after="120"/>
        <w:rPr>
          <w:rFonts w:eastAsia="Times New Roman"/>
          <w:lang w:eastAsia="en-US"/>
        </w:rPr>
      </w:pPr>
      <w:r w:rsidRPr="003040A5">
        <w:t xml:space="preserve">Au terme de la prestation de services relatifs au traitement de ces données, le titulaire s’engage à </w:t>
      </w:r>
      <w:r w:rsidRPr="003040A5">
        <w:rPr>
          <w:rFonts w:eastAsia="Times New Roman"/>
          <w:lang w:eastAsia="en-US"/>
        </w:rPr>
        <w:t xml:space="preserve">renvoyer toutes les données à caractère personnel au responsable de traitement. </w:t>
      </w:r>
    </w:p>
    <w:p w14:paraId="44928F64" w14:textId="77777777" w:rsidR="003040A5" w:rsidRPr="003040A5" w:rsidRDefault="003040A5" w:rsidP="003040A5">
      <w:pPr>
        <w:spacing w:after="120"/>
      </w:pPr>
      <w:r w:rsidRPr="003040A5">
        <w:t xml:space="preserve">Le renvoi doit s’accompagner de la destruction de toutes les copies existantes dans les systèmes d’information du titulaire. Une fois détruites, le titulaire doit justifier par écrit de la destruction. </w:t>
      </w:r>
    </w:p>
    <w:p w14:paraId="4593B8C2" w14:textId="77777777" w:rsidR="003040A5" w:rsidRPr="003040A5" w:rsidRDefault="003040A5" w:rsidP="003040A5">
      <w:pPr>
        <w:keepNext/>
        <w:numPr>
          <w:ilvl w:val="1"/>
          <w:numId w:val="0"/>
        </w:numPr>
        <w:spacing w:after="120"/>
        <w:outlineLvl w:val="5"/>
        <w:rPr>
          <w:rFonts w:eastAsia="Times New Roman" w:cs="Arial"/>
          <w:b/>
          <w:bCs/>
          <w:lang w:eastAsia="x-none"/>
        </w:rPr>
      </w:pPr>
      <w:bookmarkStart w:id="286" w:name="_Toc86392195"/>
      <w:r w:rsidRPr="003040A5">
        <w:rPr>
          <w:rFonts w:eastAsia="Times New Roman" w:cs="Arial"/>
          <w:b/>
          <w:bCs/>
          <w:lang w:val="x-none" w:eastAsia="x-none"/>
        </w:rPr>
        <w:t>15.3.9. Délégué à la protection des données</w:t>
      </w:r>
      <w:bookmarkEnd w:id="286"/>
    </w:p>
    <w:p w14:paraId="4F23C49D" w14:textId="77777777" w:rsidR="003040A5" w:rsidRPr="003040A5" w:rsidRDefault="003040A5" w:rsidP="003040A5">
      <w:pPr>
        <w:spacing w:after="120"/>
      </w:pPr>
      <w:r w:rsidRPr="003040A5">
        <w:t xml:space="preserve">Le titulaire communique au responsable de traitement le nom et les coordonnées de son délégué à la protection des données, s’il en a désigné un conformément à l’article 37 du règlement européen sur la protection des données. </w:t>
      </w:r>
    </w:p>
    <w:p w14:paraId="2A3AA895" w14:textId="77777777" w:rsidR="003040A5" w:rsidRPr="003040A5" w:rsidRDefault="003040A5" w:rsidP="003040A5">
      <w:pPr>
        <w:keepNext/>
        <w:numPr>
          <w:ilvl w:val="1"/>
          <w:numId w:val="0"/>
        </w:numPr>
        <w:spacing w:after="120"/>
        <w:outlineLvl w:val="5"/>
        <w:rPr>
          <w:rFonts w:eastAsia="Times New Roman" w:cs="Arial"/>
          <w:b/>
          <w:bCs/>
          <w:lang w:val="x-none" w:eastAsia="x-none"/>
        </w:rPr>
      </w:pPr>
      <w:bookmarkStart w:id="287" w:name="_Toc86392196"/>
      <w:r w:rsidRPr="003040A5">
        <w:rPr>
          <w:rFonts w:eastAsia="Times New Roman" w:cs="Arial"/>
          <w:b/>
          <w:bCs/>
          <w:lang w:val="x-none" w:eastAsia="x-none"/>
        </w:rPr>
        <w:t>15.3.10. Registre des catégories d’activités de traitement</w:t>
      </w:r>
      <w:bookmarkEnd w:id="287"/>
    </w:p>
    <w:p w14:paraId="27622509" w14:textId="77777777" w:rsidR="003040A5" w:rsidRPr="003040A5" w:rsidRDefault="003040A5" w:rsidP="003040A5">
      <w:r w:rsidRPr="003040A5">
        <w:t xml:space="preserve">Le titulaire déclare tenir par écrit un registre de toutes les catégories d’activités de traitement effectuées pour le compte du responsable de traitement comprenant : </w:t>
      </w:r>
    </w:p>
    <w:p w14:paraId="7B3399FD" w14:textId="77777777" w:rsidR="003040A5" w:rsidRPr="003040A5" w:rsidRDefault="003040A5" w:rsidP="003040A5">
      <w:pPr>
        <w:numPr>
          <w:ilvl w:val="0"/>
          <w:numId w:val="40"/>
        </w:numPr>
        <w:spacing w:before="60"/>
        <w:ind w:hanging="357"/>
        <w:rPr>
          <w:rFonts w:eastAsia="Times New Roman"/>
          <w:lang w:eastAsia="en-US"/>
        </w:rPr>
      </w:pPr>
      <w:proofErr w:type="gramStart"/>
      <w:r w:rsidRPr="003040A5">
        <w:rPr>
          <w:rFonts w:eastAsia="Times New Roman"/>
          <w:lang w:eastAsia="en-US"/>
        </w:rPr>
        <w:t>le</w:t>
      </w:r>
      <w:proofErr w:type="gramEnd"/>
      <w:r w:rsidRPr="003040A5">
        <w:rPr>
          <w:rFonts w:eastAsia="Times New Roman"/>
          <w:lang w:eastAsia="en-US"/>
        </w:rPr>
        <w:t xml:space="preserve"> nom et les coordonnées du responsable de traitement pour le compte duquel il agit, des éventuels sous-traitants et, le cas échéant, du délégué à la protection des données ; </w:t>
      </w:r>
    </w:p>
    <w:p w14:paraId="05A7894E" w14:textId="77777777" w:rsidR="003040A5" w:rsidRPr="003040A5" w:rsidRDefault="003040A5" w:rsidP="003040A5">
      <w:pPr>
        <w:numPr>
          <w:ilvl w:val="0"/>
          <w:numId w:val="40"/>
        </w:numPr>
        <w:spacing w:before="60"/>
        <w:ind w:hanging="357"/>
        <w:rPr>
          <w:rFonts w:eastAsia="Times New Roman"/>
          <w:lang w:eastAsia="en-US"/>
        </w:rPr>
      </w:pPr>
      <w:proofErr w:type="gramStart"/>
      <w:r w:rsidRPr="003040A5">
        <w:rPr>
          <w:rFonts w:eastAsia="Times New Roman"/>
          <w:lang w:eastAsia="en-US"/>
        </w:rPr>
        <w:t>les</w:t>
      </w:r>
      <w:proofErr w:type="gramEnd"/>
      <w:r w:rsidRPr="003040A5">
        <w:rPr>
          <w:rFonts w:eastAsia="Times New Roman"/>
          <w:lang w:eastAsia="en-US"/>
        </w:rPr>
        <w:t xml:space="preserve"> catégories de traitements effectués pour le compte du responsable du traitement ; </w:t>
      </w:r>
    </w:p>
    <w:p w14:paraId="074B3BB3" w14:textId="77777777" w:rsidR="003040A5" w:rsidRPr="003040A5" w:rsidRDefault="003040A5" w:rsidP="003040A5">
      <w:pPr>
        <w:numPr>
          <w:ilvl w:val="0"/>
          <w:numId w:val="40"/>
        </w:numPr>
        <w:spacing w:before="60"/>
        <w:ind w:hanging="357"/>
        <w:rPr>
          <w:rFonts w:eastAsia="Times New Roman"/>
          <w:lang w:eastAsia="en-US"/>
        </w:rPr>
      </w:pPr>
      <w:proofErr w:type="gramStart"/>
      <w:r w:rsidRPr="003040A5">
        <w:rPr>
          <w:rFonts w:eastAsia="Times New Roman"/>
          <w:lang w:eastAsia="en-US"/>
        </w:rPr>
        <w:t>une</w:t>
      </w:r>
      <w:proofErr w:type="gramEnd"/>
      <w:r w:rsidRPr="003040A5">
        <w:rPr>
          <w:rFonts w:eastAsia="Times New Roman"/>
          <w:lang w:eastAsia="en-US"/>
        </w:rPr>
        <w:t xml:space="preserve"> description générale des mesures de sécurité techniques et organisationnelles, y compris entre autres, selon les besoins : </w:t>
      </w:r>
    </w:p>
    <w:p w14:paraId="6C3DE4A4" w14:textId="77777777" w:rsidR="003040A5" w:rsidRPr="003040A5" w:rsidRDefault="003040A5" w:rsidP="003040A5">
      <w:pPr>
        <w:numPr>
          <w:ilvl w:val="1"/>
          <w:numId w:val="40"/>
        </w:numPr>
        <w:spacing w:before="60"/>
        <w:ind w:hanging="357"/>
        <w:rPr>
          <w:rFonts w:eastAsia="Times New Roman"/>
          <w:lang w:eastAsia="en-US"/>
        </w:rPr>
      </w:pPr>
      <w:proofErr w:type="gramStart"/>
      <w:r w:rsidRPr="003040A5">
        <w:rPr>
          <w:rFonts w:eastAsia="Times New Roman"/>
          <w:lang w:eastAsia="en-US"/>
        </w:rPr>
        <w:t>la</w:t>
      </w:r>
      <w:proofErr w:type="gramEnd"/>
      <w:r w:rsidRPr="003040A5">
        <w:rPr>
          <w:rFonts w:eastAsia="Times New Roman"/>
          <w:lang w:eastAsia="en-US"/>
        </w:rPr>
        <w:t xml:space="preserve"> </w:t>
      </w:r>
      <w:proofErr w:type="spellStart"/>
      <w:r w:rsidRPr="003040A5">
        <w:rPr>
          <w:rFonts w:eastAsia="Times New Roman"/>
          <w:lang w:eastAsia="en-US"/>
        </w:rPr>
        <w:t>pseudonymisation</w:t>
      </w:r>
      <w:proofErr w:type="spellEnd"/>
      <w:r w:rsidRPr="003040A5">
        <w:rPr>
          <w:rFonts w:eastAsia="Times New Roman"/>
          <w:lang w:eastAsia="en-US"/>
        </w:rPr>
        <w:t xml:space="preserve"> et le chiffrement des données à caractère personnel ; </w:t>
      </w:r>
    </w:p>
    <w:p w14:paraId="1D7964A3" w14:textId="77777777" w:rsidR="003040A5" w:rsidRPr="003040A5" w:rsidRDefault="003040A5" w:rsidP="003040A5">
      <w:pPr>
        <w:numPr>
          <w:ilvl w:val="1"/>
          <w:numId w:val="40"/>
        </w:numPr>
        <w:spacing w:before="60"/>
        <w:ind w:hanging="357"/>
        <w:rPr>
          <w:rFonts w:eastAsia="Times New Roman"/>
          <w:lang w:eastAsia="en-US"/>
        </w:rPr>
      </w:pPr>
      <w:proofErr w:type="gramStart"/>
      <w:r w:rsidRPr="003040A5">
        <w:rPr>
          <w:rFonts w:eastAsia="Times New Roman"/>
          <w:lang w:eastAsia="en-US"/>
        </w:rPr>
        <w:t>des</w:t>
      </w:r>
      <w:proofErr w:type="gramEnd"/>
      <w:r w:rsidRPr="003040A5">
        <w:rPr>
          <w:rFonts w:eastAsia="Times New Roman"/>
          <w:lang w:eastAsia="en-US"/>
        </w:rPr>
        <w:t xml:space="preserve"> moyens permettant de garantir la confidentialité, l'intégrité, la disponibilité et la résilience constantes des systèmes et des services de traitement ; </w:t>
      </w:r>
    </w:p>
    <w:p w14:paraId="55167AD5" w14:textId="77777777" w:rsidR="003040A5" w:rsidRPr="003040A5" w:rsidRDefault="003040A5" w:rsidP="003040A5">
      <w:pPr>
        <w:numPr>
          <w:ilvl w:val="1"/>
          <w:numId w:val="40"/>
        </w:numPr>
        <w:spacing w:before="60"/>
        <w:ind w:hanging="357"/>
        <w:rPr>
          <w:rFonts w:eastAsia="Times New Roman"/>
          <w:lang w:eastAsia="en-US"/>
        </w:rPr>
      </w:pPr>
      <w:proofErr w:type="gramStart"/>
      <w:r w:rsidRPr="003040A5">
        <w:rPr>
          <w:rFonts w:eastAsia="Times New Roman"/>
          <w:lang w:eastAsia="en-US"/>
        </w:rPr>
        <w:t>des</w:t>
      </w:r>
      <w:proofErr w:type="gramEnd"/>
      <w:r w:rsidRPr="003040A5">
        <w:rPr>
          <w:rFonts w:eastAsia="Times New Roman"/>
          <w:lang w:eastAsia="en-US"/>
        </w:rPr>
        <w:t xml:space="preserve"> moyens permettant de rétablir la disponibilité des données à caractère personnel et l'accès à celles-ci dans des délais appropriés en cas d'incident physique ou technique ; </w:t>
      </w:r>
    </w:p>
    <w:p w14:paraId="5A73315E" w14:textId="77777777" w:rsidR="003040A5" w:rsidRPr="003040A5" w:rsidRDefault="003040A5" w:rsidP="003040A5">
      <w:pPr>
        <w:numPr>
          <w:ilvl w:val="1"/>
          <w:numId w:val="40"/>
        </w:numPr>
        <w:spacing w:before="60"/>
        <w:ind w:hanging="357"/>
        <w:rPr>
          <w:rFonts w:eastAsia="Times New Roman"/>
          <w:lang w:eastAsia="en-US"/>
        </w:rPr>
      </w:pPr>
      <w:proofErr w:type="gramStart"/>
      <w:r w:rsidRPr="003040A5">
        <w:rPr>
          <w:rFonts w:eastAsia="Times New Roman"/>
          <w:lang w:eastAsia="en-US"/>
        </w:rPr>
        <w:t>une</w:t>
      </w:r>
      <w:proofErr w:type="gramEnd"/>
      <w:r w:rsidRPr="003040A5">
        <w:rPr>
          <w:rFonts w:eastAsia="Times New Roman"/>
          <w:lang w:eastAsia="en-US"/>
        </w:rPr>
        <w:t xml:space="preserve"> procédure visant à tester, à analyser et à évaluer régulièrement l'efficacité des mesures techniques et organisationnelles pour assurer la sécurité du traitement. </w:t>
      </w:r>
    </w:p>
    <w:p w14:paraId="1039C3E2" w14:textId="77777777" w:rsidR="003040A5" w:rsidRPr="003040A5" w:rsidRDefault="003040A5" w:rsidP="009F0863">
      <w:pPr>
        <w:numPr>
          <w:ilvl w:val="0"/>
          <w:numId w:val="40"/>
        </w:numPr>
        <w:spacing w:before="60"/>
        <w:ind w:hanging="357"/>
        <w:rPr>
          <w:rFonts w:eastAsia="Times New Roman" w:cs="Arial"/>
          <w:b/>
          <w:bCs/>
          <w:lang w:val="x-none" w:eastAsia="x-none"/>
        </w:rPr>
      </w:pPr>
      <w:r w:rsidRPr="003040A5">
        <w:rPr>
          <w:rFonts w:eastAsia="Times New Roman"/>
          <w:lang w:eastAsia="en-US"/>
        </w:rPr>
        <w:lastRenderedPageBreak/>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bookmarkStart w:id="288" w:name="_Toc86392197"/>
    </w:p>
    <w:p w14:paraId="131C7BB0" w14:textId="6F7E9A39" w:rsidR="003040A5" w:rsidRPr="006B5D26" w:rsidRDefault="003040A5" w:rsidP="009F0863">
      <w:pPr>
        <w:rPr>
          <w:rFonts w:eastAsia="Times New Roman" w:cs="Arial"/>
          <w:b/>
          <w:bCs/>
          <w:strike/>
          <w:lang w:val="x-none" w:eastAsia="x-none"/>
        </w:rPr>
      </w:pPr>
    </w:p>
    <w:p w14:paraId="46C1C676" w14:textId="77777777" w:rsidR="003040A5" w:rsidRPr="003040A5" w:rsidRDefault="003040A5" w:rsidP="003040A5">
      <w:pPr>
        <w:keepNext/>
        <w:numPr>
          <w:ilvl w:val="1"/>
          <w:numId w:val="0"/>
        </w:numPr>
        <w:spacing w:after="120"/>
        <w:outlineLvl w:val="5"/>
        <w:rPr>
          <w:rFonts w:eastAsia="Times New Roman" w:cs="Arial"/>
          <w:b/>
          <w:bCs/>
          <w:lang w:val="x-none" w:eastAsia="x-none"/>
        </w:rPr>
      </w:pPr>
      <w:r w:rsidRPr="003040A5">
        <w:rPr>
          <w:rFonts w:eastAsia="Times New Roman" w:cs="Arial"/>
          <w:b/>
          <w:bCs/>
          <w:lang w:val="x-none" w:eastAsia="x-none"/>
        </w:rPr>
        <w:t>15.3.11. Documentation</w:t>
      </w:r>
      <w:bookmarkEnd w:id="288"/>
    </w:p>
    <w:p w14:paraId="12E76733" w14:textId="48FCBCEA" w:rsidR="003040A5" w:rsidRPr="003040A5" w:rsidRDefault="003040A5" w:rsidP="003040A5">
      <w:r w:rsidRPr="003040A5">
        <w:t xml:space="preserve">Le titulaire met à la disposition du responsable de traitement la documentation nécessaire pour démontrer le respect de toutes ses obligations et pour permettre la réalisation d'audits par le responsable du traitement ou un autre auditeur qu'il a mandaté, et contribuer à ces audits. </w:t>
      </w:r>
    </w:p>
    <w:p w14:paraId="1ECC7A90" w14:textId="0239F3C4" w:rsidR="00E85775" w:rsidRPr="00C849CA" w:rsidRDefault="00E85775" w:rsidP="00C849CA">
      <w:pPr>
        <w:pStyle w:val="Titre1"/>
        <w:keepLines/>
        <w:numPr>
          <w:ilvl w:val="0"/>
          <w:numId w:val="0"/>
        </w:numPr>
        <w:spacing w:before="240" w:after="0"/>
        <w:rPr>
          <w:rFonts w:ascii="Arial" w:hAnsi="Arial" w:cs="Arial"/>
          <w:sz w:val="22"/>
          <w:szCs w:val="22"/>
        </w:rPr>
      </w:pPr>
      <w:bookmarkStart w:id="289" w:name="_Toc50109617"/>
      <w:bookmarkStart w:id="290" w:name="_Toc207979785"/>
      <w:r w:rsidRPr="00C849CA">
        <w:rPr>
          <w:rFonts w:ascii="Arial" w:hAnsi="Arial" w:cs="Arial"/>
          <w:sz w:val="22"/>
          <w:szCs w:val="22"/>
        </w:rPr>
        <w:t>ARTICLE 1</w:t>
      </w:r>
      <w:r w:rsidR="00D269F9" w:rsidRPr="00C849CA">
        <w:rPr>
          <w:rFonts w:ascii="Arial" w:hAnsi="Arial" w:cs="Arial"/>
          <w:sz w:val="22"/>
          <w:szCs w:val="22"/>
        </w:rPr>
        <w:t>6</w:t>
      </w:r>
      <w:r w:rsidRPr="00C849CA">
        <w:rPr>
          <w:rFonts w:ascii="Arial" w:hAnsi="Arial" w:cs="Arial"/>
          <w:sz w:val="22"/>
          <w:szCs w:val="22"/>
        </w:rPr>
        <w:t xml:space="preserve"> – MARCHÉ ULTERIEUR DE PRESTATIONS SIMILAIRES.</w:t>
      </w:r>
      <w:bookmarkEnd w:id="270"/>
      <w:bookmarkEnd w:id="289"/>
      <w:bookmarkEnd w:id="290"/>
    </w:p>
    <w:p w14:paraId="2586AEEC" w14:textId="77777777" w:rsidR="00E85775" w:rsidRPr="00E85775" w:rsidRDefault="00E85775" w:rsidP="00C7548A"/>
    <w:p w14:paraId="3AF14796" w14:textId="61431A86" w:rsidR="00E85775" w:rsidRPr="00BF4D90" w:rsidRDefault="00A87FAB" w:rsidP="00C7548A">
      <w:r>
        <w:t>L’acheteur</w:t>
      </w:r>
      <w:r w:rsidR="00E85775" w:rsidRPr="00E85775">
        <w:t xml:space="preserve"> pourra recourir à la procédure négociée sans publicité ni mise en concurrence pour la réalisation de prestations similaires à celles du présent </w:t>
      </w:r>
      <w:r w:rsidR="00B75DB2">
        <w:t>accord-cadre</w:t>
      </w:r>
      <w:r w:rsidR="00E85775" w:rsidRPr="00E85775">
        <w:t>, tel que prévu par l'article R. 2122-7 du code de la commande publique.</w:t>
      </w:r>
    </w:p>
    <w:p w14:paraId="468560AB" w14:textId="5D1DC27A" w:rsidR="00E85775" w:rsidRPr="00C849CA" w:rsidRDefault="00D269F9" w:rsidP="00C849CA">
      <w:pPr>
        <w:pStyle w:val="Titre1"/>
        <w:keepLines/>
        <w:numPr>
          <w:ilvl w:val="0"/>
          <w:numId w:val="0"/>
        </w:numPr>
        <w:spacing w:before="240" w:after="0"/>
        <w:rPr>
          <w:rFonts w:ascii="Arial" w:hAnsi="Arial" w:cs="Arial"/>
          <w:sz w:val="22"/>
          <w:szCs w:val="22"/>
        </w:rPr>
      </w:pPr>
      <w:bookmarkStart w:id="291" w:name="_Toc507666680"/>
      <w:bookmarkStart w:id="292" w:name="_Toc50109618"/>
      <w:bookmarkStart w:id="293" w:name="_Toc207979786"/>
      <w:r w:rsidRPr="00C849CA">
        <w:rPr>
          <w:rFonts w:ascii="Arial" w:hAnsi="Arial" w:cs="Arial"/>
          <w:sz w:val="22"/>
          <w:szCs w:val="22"/>
        </w:rPr>
        <w:t>ARTICLE 17</w:t>
      </w:r>
      <w:r w:rsidR="00E85775" w:rsidRPr="00C849CA">
        <w:rPr>
          <w:rFonts w:ascii="Arial" w:hAnsi="Arial" w:cs="Arial"/>
          <w:sz w:val="22"/>
          <w:szCs w:val="22"/>
        </w:rPr>
        <w:t xml:space="preserve"> – RÉSILIATION </w:t>
      </w:r>
      <w:r w:rsidR="0037147F" w:rsidRPr="00C849CA">
        <w:rPr>
          <w:rFonts w:ascii="Arial" w:hAnsi="Arial" w:cs="Arial"/>
          <w:sz w:val="22"/>
          <w:szCs w:val="22"/>
        </w:rPr>
        <w:t>DE L’ACCORD-CADRE</w:t>
      </w:r>
      <w:r w:rsidR="00E85775" w:rsidRPr="00C849CA">
        <w:rPr>
          <w:rFonts w:ascii="Arial" w:hAnsi="Arial" w:cs="Arial"/>
          <w:sz w:val="22"/>
          <w:szCs w:val="22"/>
        </w:rPr>
        <w:t>.</w:t>
      </w:r>
      <w:bookmarkEnd w:id="291"/>
      <w:bookmarkEnd w:id="292"/>
      <w:bookmarkEnd w:id="293"/>
    </w:p>
    <w:p w14:paraId="05DA60A2" w14:textId="77777777" w:rsidR="00E85775" w:rsidRPr="00E85775" w:rsidRDefault="00E85775" w:rsidP="00C7548A"/>
    <w:p w14:paraId="25B9D888" w14:textId="10817A2B" w:rsidR="00B75DB2" w:rsidRPr="00E85775" w:rsidRDefault="00B75DB2" w:rsidP="00B75DB2">
      <w:pPr>
        <w:pStyle w:val="Titre2"/>
      </w:pPr>
      <w:bookmarkStart w:id="294" w:name="_Toc507666681"/>
      <w:bookmarkStart w:id="295" w:name="_Toc50109619"/>
      <w:bookmarkStart w:id="296" w:name="_Toc94694249"/>
      <w:bookmarkStart w:id="297" w:name="_Toc207979787"/>
      <w:r w:rsidRPr="00E85775">
        <w:t>1</w:t>
      </w:r>
      <w:r w:rsidR="00B90A1C">
        <w:rPr>
          <w:lang w:val="fr-FR"/>
        </w:rPr>
        <w:t>7</w:t>
      </w:r>
      <w:r w:rsidRPr="00E85775">
        <w:t xml:space="preserve">.1. Résiliation </w:t>
      </w:r>
      <w:r w:rsidR="004735BC">
        <w:t>de l’accord-cadre</w:t>
      </w:r>
      <w:r w:rsidRPr="00E85775">
        <w:t>.</w:t>
      </w:r>
      <w:bookmarkEnd w:id="294"/>
      <w:bookmarkEnd w:id="295"/>
      <w:bookmarkEnd w:id="296"/>
      <w:bookmarkEnd w:id="297"/>
    </w:p>
    <w:p w14:paraId="65B49D4A" w14:textId="77777777" w:rsidR="00B75DB2" w:rsidRPr="00574FD2" w:rsidRDefault="00B75DB2" w:rsidP="00B75DB2"/>
    <w:p w14:paraId="5D030F73" w14:textId="77777777" w:rsidR="00B75DB2" w:rsidRPr="00C7548A" w:rsidRDefault="00B75DB2" w:rsidP="00B75DB2">
      <w:r>
        <w:t xml:space="preserve">L’acheteur </w:t>
      </w:r>
      <w:r w:rsidRPr="00C7548A">
        <w:t xml:space="preserve">peut mettre fin à l'exécution des prestations faisant l'objet du présent </w:t>
      </w:r>
      <w:r>
        <w:t>accord-cadre</w:t>
      </w:r>
      <w:r w:rsidRPr="00C7548A">
        <w:t xml:space="preserve"> avant l'achèvement de celles-ci par une décision de résiliation </w:t>
      </w:r>
      <w:r>
        <w:t>de l’</w:t>
      </w:r>
      <w:r w:rsidR="00A45231">
        <w:t>accord-cadre</w:t>
      </w:r>
      <w:r w:rsidRPr="00C7548A">
        <w:t xml:space="preserve"> conformément aux </w:t>
      </w:r>
      <w:r w:rsidRPr="00FE359A">
        <w:rPr>
          <w:color w:val="000000" w:themeColor="text1"/>
        </w:rPr>
        <w:t>dispositions du chapitre 7 du CCAG/PI.</w:t>
      </w:r>
    </w:p>
    <w:p w14:paraId="59749A60" w14:textId="77777777" w:rsidR="00B75DB2" w:rsidRPr="00C7548A" w:rsidRDefault="00B75DB2" w:rsidP="00B75DB2"/>
    <w:p w14:paraId="6953286B" w14:textId="77777777" w:rsidR="00B75DB2" w:rsidRPr="00C7548A" w:rsidRDefault="00B75DB2" w:rsidP="00B75DB2">
      <w:r>
        <w:t xml:space="preserve">En complément </w:t>
      </w:r>
      <w:r w:rsidRPr="00FE359A">
        <w:rPr>
          <w:color w:val="000000" w:themeColor="text1"/>
        </w:rPr>
        <w:t xml:space="preserve">de l’article 39 du CCAG/PI, lorsque le </w:t>
      </w:r>
      <w:r w:rsidRPr="00C7548A">
        <w:t>titulaire est placé dans l’une des situations mentionnées aux articles L. 2141-1 à L. 2141-5 du code de la commande publique ayant pour effet de l</w:t>
      </w:r>
      <w:r>
        <w:t xml:space="preserve">’exclure d’un marché public, l’acheteur </w:t>
      </w:r>
      <w:r w:rsidRPr="00C7548A">
        <w:t xml:space="preserve">peut résilier </w:t>
      </w:r>
      <w:r>
        <w:t>l’accord-cadre</w:t>
      </w:r>
      <w:r w:rsidRPr="00C7548A">
        <w:t xml:space="preserve"> 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36427F04" w14:textId="77777777" w:rsidR="00B75DB2" w:rsidRPr="00C7548A" w:rsidRDefault="00B75DB2" w:rsidP="00B75DB2"/>
    <w:p w14:paraId="300F96BE" w14:textId="77777777" w:rsidR="00B75DB2" w:rsidRPr="00E85775" w:rsidRDefault="00B75DB2" w:rsidP="00B75DB2">
      <w:r w:rsidRPr="00E85775">
        <w:t xml:space="preserve">Conformément à </w:t>
      </w:r>
      <w:r w:rsidRPr="009473F0">
        <w:rPr>
          <w:color w:val="000000" w:themeColor="text1"/>
        </w:rPr>
        <w:t xml:space="preserve">l’article 27 du CCAG/PI, l’acheteur </w:t>
      </w:r>
      <w:r w:rsidRPr="00E85775">
        <w:t xml:space="preserve">peut faire procéder par un tiers à l’exécution des prestations prévues par </w:t>
      </w:r>
      <w:r>
        <w:t>l’accord-cadre</w:t>
      </w:r>
      <w:r w:rsidRPr="00E85775">
        <w:t xml:space="preserve">, aux frais et risques du titulaire, soit en cas d’inexécution par ce dernier d’une prestation qui, par sa nature, ne peut souffrir aucun retard, soit en cas de résiliation </w:t>
      </w:r>
      <w:r>
        <w:t>de l’accord-cadre</w:t>
      </w:r>
      <w:r w:rsidRPr="00E85775">
        <w:t xml:space="preserve"> prononcée aux torts du titulaire.</w:t>
      </w:r>
    </w:p>
    <w:p w14:paraId="6116CC24" w14:textId="77777777" w:rsidR="00B75DB2" w:rsidRPr="00E85775" w:rsidRDefault="00B75DB2" w:rsidP="00B75DB2"/>
    <w:p w14:paraId="42A2681B" w14:textId="22F5D30A" w:rsidR="00B75DB2" w:rsidRPr="00E85775" w:rsidRDefault="00B75DB2" w:rsidP="00B75DB2">
      <w:pPr>
        <w:pStyle w:val="Titre2"/>
      </w:pPr>
      <w:bookmarkStart w:id="298" w:name="_Toc507666682"/>
      <w:bookmarkStart w:id="299" w:name="_Toc50109620"/>
      <w:bookmarkStart w:id="300" w:name="_Toc94694250"/>
      <w:bookmarkStart w:id="301" w:name="_Toc207979788"/>
      <w:r w:rsidRPr="00E85775">
        <w:t>1</w:t>
      </w:r>
      <w:r w:rsidR="00B90A1C">
        <w:rPr>
          <w:lang w:val="fr-FR"/>
        </w:rPr>
        <w:t>7</w:t>
      </w:r>
      <w:r w:rsidRPr="00E85775">
        <w:t>.2. Résiliation partielle.</w:t>
      </w:r>
      <w:bookmarkEnd w:id="298"/>
      <w:bookmarkEnd w:id="299"/>
      <w:bookmarkEnd w:id="300"/>
      <w:bookmarkEnd w:id="301"/>
    </w:p>
    <w:p w14:paraId="6B80A447" w14:textId="77777777" w:rsidR="00B75DB2" w:rsidRPr="00E85775" w:rsidRDefault="00B75DB2" w:rsidP="00B75DB2"/>
    <w:p w14:paraId="412B3B24" w14:textId="77777777" w:rsidR="00B75DB2" w:rsidRPr="00E85775" w:rsidRDefault="00B75DB2" w:rsidP="00B75DB2">
      <w:r>
        <w:t xml:space="preserve">L’acheteur </w:t>
      </w:r>
      <w:r w:rsidRPr="00E85775">
        <w:t xml:space="preserve">peut résilier une partie des prestations objet </w:t>
      </w:r>
      <w:r w:rsidR="00A64A77">
        <w:t>de l’accord-cadre</w:t>
      </w:r>
      <w:r w:rsidRPr="00E85775">
        <w:t>, correspondant à un ou plusieurs lots de liquidation pour un des motifs visé ci-dessus.</w:t>
      </w:r>
    </w:p>
    <w:p w14:paraId="3288BDF4" w14:textId="77777777" w:rsidR="00B75DB2" w:rsidRPr="00E85775" w:rsidRDefault="00B75DB2" w:rsidP="00B75DB2"/>
    <w:p w14:paraId="42EC065E" w14:textId="77777777" w:rsidR="00B75DB2" w:rsidRPr="00E85775" w:rsidRDefault="00B75DB2" w:rsidP="00B75DB2">
      <w:r w:rsidRPr="00E85775">
        <w:t>La résiliation partielle donne lieu à un décompte de résiliation intégrant les indemnités y afférent le cas échéant.</w:t>
      </w:r>
    </w:p>
    <w:p w14:paraId="73BD1DFC" w14:textId="77777777" w:rsidR="00B75DB2" w:rsidRPr="00E85775" w:rsidRDefault="00B75DB2" w:rsidP="00B75DB2"/>
    <w:p w14:paraId="39344495" w14:textId="69980AAF" w:rsidR="00D269F9" w:rsidRDefault="00B75DB2" w:rsidP="00B75DB2">
      <w:r w:rsidRPr="00E85775">
        <w:t xml:space="preserve">Le titulaire dispose d'un délai de </w:t>
      </w:r>
      <w:r w:rsidR="009C4718">
        <w:t>quinze (</w:t>
      </w:r>
      <w:r w:rsidRPr="00E85775">
        <w:t>15</w:t>
      </w:r>
      <w:r w:rsidR="009C4718">
        <w:t>)</w:t>
      </w:r>
      <w:r w:rsidRPr="00E85775">
        <w:t xml:space="preserve"> jours suivant la notification de la décision pour émettre des observations</w:t>
      </w:r>
      <w:r>
        <w:t>.</w:t>
      </w:r>
    </w:p>
    <w:p w14:paraId="07776909" w14:textId="220D00EB" w:rsidR="00E85775" w:rsidRPr="00C849CA" w:rsidRDefault="00E85775" w:rsidP="00C849CA">
      <w:pPr>
        <w:pStyle w:val="Titre1"/>
        <w:keepLines/>
        <w:numPr>
          <w:ilvl w:val="0"/>
          <w:numId w:val="0"/>
        </w:numPr>
        <w:spacing w:before="240" w:after="0"/>
        <w:rPr>
          <w:rFonts w:ascii="Arial" w:hAnsi="Arial" w:cs="Arial"/>
          <w:sz w:val="22"/>
          <w:szCs w:val="22"/>
        </w:rPr>
      </w:pPr>
      <w:bookmarkStart w:id="302" w:name="_Toc507666683"/>
      <w:bookmarkStart w:id="303" w:name="_Toc50109621"/>
      <w:bookmarkStart w:id="304" w:name="_Toc207979789"/>
      <w:r w:rsidRPr="00C849CA">
        <w:rPr>
          <w:rFonts w:ascii="Arial" w:hAnsi="Arial" w:cs="Arial"/>
          <w:sz w:val="22"/>
          <w:szCs w:val="22"/>
        </w:rPr>
        <w:t xml:space="preserve">ARTICLE </w:t>
      </w:r>
      <w:r w:rsidR="00D269F9" w:rsidRPr="00C849CA">
        <w:rPr>
          <w:rFonts w:ascii="Arial" w:hAnsi="Arial" w:cs="Arial"/>
          <w:sz w:val="22"/>
          <w:szCs w:val="22"/>
        </w:rPr>
        <w:t>18</w:t>
      </w:r>
      <w:r w:rsidRPr="00C849CA">
        <w:rPr>
          <w:rFonts w:ascii="Arial" w:hAnsi="Arial" w:cs="Arial"/>
          <w:sz w:val="22"/>
          <w:szCs w:val="22"/>
        </w:rPr>
        <w:t xml:space="preserve"> - RÈGLEMENT AMIABLE DES LITIGES – RECOURS.</w:t>
      </w:r>
      <w:bookmarkEnd w:id="302"/>
      <w:bookmarkEnd w:id="303"/>
      <w:bookmarkEnd w:id="304"/>
    </w:p>
    <w:p w14:paraId="0B0524B6" w14:textId="77777777" w:rsidR="00E85775" w:rsidRPr="00E85775" w:rsidRDefault="00E85775" w:rsidP="00C7548A"/>
    <w:p w14:paraId="5F5E148F" w14:textId="77777777" w:rsidR="00E85775" w:rsidRPr="00E85775" w:rsidRDefault="00E85775" w:rsidP="000F7994">
      <w:pPr>
        <w:pStyle w:val="Titre2"/>
      </w:pPr>
      <w:bookmarkStart w:id="305" w:name="_Toc507666684"/>
      <w:bookmarkStart w:id="306" w:name="_Toc50109622"/>
      <w:bookmarkStart w:id="307" w:name="_Toc207979790"/>
      <w:r w:rsidRPr="00E85775">
        <w:t>1</w:t>
      </w:r>
      <w:r w:rsidR="00D269F9">
        <w:rPr>
          <w:lang w:val="fr-FR"/>
        </w:rPr>
        <w:t>8</w:t>
      </w:r>
      <w:r w:rsidRPr="00E85775">
        <w:t>.1. Recours gracieux.</w:t>
      </w:r>
      <w:bookmarkEnd w:id="305"/>
      <w:bookmarkEnd w:id="306"/>
      <w:bookmarkEnd w:id="307"/>
    </w:p>
    <w:p w14:paraId="3747A5DD" w14:textId="77777777" w:rsidR="00E85775" w:rsidRPr="00E85775" w:rsidRDefault="00E85775" w:rsidP="00C7548A"/>
    <w:p w14:paraId="52B2E90C" w14:textId="04896BE7" w:rsidR="00E85775" w:rsidRDefault="00EB2370" w:rsidP="00C7548A">
      <w:r>
        <w:t xml:space="preserve">Conformément au chapitre 8 </w:t>
      </w:r>
      <w:r w:rsidRPr="0083686A">
        <w:rPr>
          <w:color w:val="000000" w:themeColor="text1"/>
        </w:rPr>
        <w:t xml:space="preserve">du CCAG/PI, l’acheteur </w:t>
      </w:r>
      <w:r w:rsidRPr="00E85775">
        <w:t xml:space="preserve">et le titulaire s’efforcent de régler à l’amiable tout différend éventuel relatif à l’interprétation des stipulations </w:t>
      </w:r>
      <w:r>
        <w:t>de l’accord-cadre</w:t>
      </w:r>
      <w:r w:rsidRPr="00E85775">
        <w:t xml:space="preserve"> ou à l’exécution </w:t>
      </w:r>
      <w:r>
        <w:t>des prestations objet de l’accord-cadre</w:t>
      </w:r>
      <w:r w:rsidR="00D269F9">
        <w:t>.</w:t>
      </w:r>
    </w:p>
    <w:p w14:paraId="26FD3B8F" w14:textId="77777777" w:rsidR="00E337EE" w:rsidRDefault="00E337EE" w:rsidP="00C7548A"/>
    <w:p w14:paraId="69B1B81E" w14:textId="51D43B1D" w:rsidR="00E337EE" w:rsidRPr="001746C0" w:rsidRDefault="00E337EE" w:rsidP="00E337EE">
      <w:pPr>
        <w:rPr>
          <w:rFonts w:cs="Arial"/>
        </w:rPr>
      </w:pPr>
      <w:r w:rsidRPr="001746C0">
        <w:rPr>
          <w:rFonts w:cs="Arial"/>
        </w:rPr>
        <w:t xml:space="preserve">Par dérogation à l’article </w:t>
      </w:r>
      <w:r w:rsidRPr="00E337EE">
        <w:rPr>
          <w:rFonts w:cs="Arial"/>
        </w:rPr>
        <w:t>43.3 du CCAG/PI</w:t>
      </w:r>
      <w:r w:rsidRPr="001746C0">
        <w:rPr>
          <w:rFonts w:cs="Arial"/>
        </w:rPr>
        <w:t>, l’acheteur dispose d’un délai de quatre mois, courant à compter de la réception du mémoire en réclamation, pour notifier sa décision. L’absence de décision dans ce délai vaut rejet de la réclamation.</w:t>
      </w:r>
    </w:p>
    <w:p w14:paraId="34A3626D" w14:textId="7C3CDC6C" w:rsidR="00E85775" w:rsidRPr="00E85775" w:rsidRDefault="00E85775" w:rsidP="00C7548A"/>
    <w:p w14:paraId="7B03CD1B" w14:textId="77777777" w:rsidR="00E85775" w:rsidRPr="00E85775" w:rsidRDefault="00E85775" w:rsidP="000F7994">
      <w:pPr>
        <w:pStyle w:val="Titre2"/>
      </w:pPr>
      <w:bookmarkStart w:id="308" w:name="_Toc507666685"/>
      <w:bookmarkStart w:id="309" w:name="_Toc50109623"/>
      <w:bookmarkStart w:id="310" w:name="_Toc207979791"/>
      <w:r w:rsidRPr="00E85775">
        <w:t>1</w:t>
      </w:r>
      <w:r w:rsidR="00D269F9">
        <w:rPr>
          <w:lang w:val="fr-FR"/>
        </w:rPr>
        <w:t>8</w:t>
      </w:r>
      <w:r w:rsidRPr="00E85775">
        <w:t>.2. Règlement amiable des litiges</w:t>
      </w:r>
      <w:bookmarkEnd w:id="308"/>
      <w:r w:rsidRPr="00E85775">
        <w:t xml:space="preserve"> et des différends</w:t>
      </w:r>
      <w:bookmarkEnd w:id="309"/>
      <w:bookmarkEnd w:id="310"/>
    </w:p>
    <w:p w14:paraId="5BE07905" w14:textId="77777777" w:rsidR="00E85775" w:rsidRPr="00E85775" w:rsidRDefault="00E85775" w:rsidP="00C7548A"/>
    <w:p w14:paraId="4D8FAA87" w14:textId="2632F885" w:rsidR="00E85775" w:rsidRPr="00E85775" w:rsidRDefault="00E85775" w:rsidP="00C7548A">
      <w:r w:rsidRPr="00E85775">
        <w:t xml:space="preserve">Tout litige ou différend survenant à l’occasion d’un accord-cadre </w:t>
      </w:r>
      <w:proofErr w:type="gramStart"/>
      <w:r w:rsidR="00046E62" w:rsidRPr="00E85775">
        <w:t>peut être</w:t>
      </w:r>
      <w:proofErr w:type="gramEnd"/>
      <w:r w:rsidRPr="00E85775">
        <w:t xml:space="preserve"> soumis par l’opérateur économique titulaire au service acheteur. La réglementation de l’achat public institue comme principe la recherche du règlement </w:t>
      </w:r>
      <w:r w:rsidRPr="00E85775">
        <w:lastRenderedPageBreak/>
        <w:t>amiable des conflits et préconise le recours à la médiation.</w:t>
      </w:r>
      <w:r w:rsidR="003A1AE6">
        <w:t xml:space="preserve"> Le titulaire peut contacter le médiateur des entreprises du ministère des armées à l’adresse suivante : minarm.mediateur-entreprises.fct@intradef.gouv.fr</w:t>
      </w:r>
      <w:r w:rsidR="009C4718">
        <w:t>.</w:t>
      </w:r>
    </w:p>
    <w:p w14:paraId="368553A0" w14:textId="77777777" w:rsidR="0054256C" w:rsidRPr="00E85775" w:rsidRDefault="0054256C" w:rsidP="00C7548A"/>
    <w:p w14:paraId="4F4B9FBB" w14:textId="4DF05341" w:rsidR="00E337EE" w:rsidRPr="001746C0" w:rsidRDefault="00E337EE" w:rsidP="00E337EE">
      <w:pPr>
        <w:rPr>
          <w:rFonts w:cs="Arial"/>
        </w:rPr>
      </w:pPr>
      <w:r w:rsidRPr="001746C0">
        <w:rPr>
          <w:rFonts w:cs="Arial"/>
        </w:rPr>
        <w:t>Le titulaire est incité à soumettre tout diffé</w:t>
      </w:r>
      <w:r>
        <w:rPr>
          <w:rFonts w:cs="Arial"/>
        </w:rPr>
        <w:t xml:space="preserve">rend qui l’oppose à l’acheteur </w:t>
      </w:r>
      <w:r w:rsidRPr="001746C0">
        <w:rPr>
          <w:rFonts w:cs="Arial"/>
        </w:rPr>
        <w:t>à un comité consultatif de règlement amiable des différends, dans les conditions prévues à l’article R. 2197-1 du code de la comm</w:t>
      </w:r>
      <w:r>
        <w:rPr>
          <w:rFonts w:cs="Arial"/>
        </w:rPr>
        <w:t xml:space="preserve">ande publique et à l’article </w:t>
      </w:r>
      <w:r w:rsidRPr="00E337EE">
        <w:rPr>
          <w:rFonts w:cs="Arial"/>
        </w:rPr>
        <w:t xml:space="preserve">43 du CCAG/PI. </w:t>
      </w:r>
    </w:p>
    <w:p w14:paraId="40CAD050" w14:textId="77777777" w:rsidR="00E85775" w:rsidRPr="00E85775" w:rsidRDefault="00E85775" w:rsidP="00C7548A"/>
    <w:p w14:paraId="3FA6531F" w14:textId="77777777" w:rsidR="00E85775" w:rsidRPr="00E85775" w:rsidRDefault="00D269F9" w:rsidP="000F7994">
      <w:pPr>
        <w:pStyle w:val="Titre2"/>
      </w:pPr>
      <w:bookmarkStart w:id="311" w:name="_Toc507666686"/>
      <w:bookmarkStart w:id="312" w:name="_Toc50109624"/>
      <w:bookmarkStart w:id="313" w:name="_Toc207979792"/>
      <w:r>
        <w:t>18</w:t>
      </w:r>
      <w:r w:rsidR="00E85775" w:rsidRPr="00E85775">
        <w:t>.3. Recours contentieux.</w:t>
      </w:r>
      <w:bookmarkEnd w:id="311"/>
      <w:bookmarkEnd w:id="312"/>
      <w:bookmarkEnd w:id="313"/>
    </w:p>
    <w:p w14:paraId="6ACF9FBB" w14:textId="77777777" w:rsidR="00E85775" w:rsidRPr="00E85775" w:rsidRDefault="00E85775" w:rsidP="00C7548A"/>
    <w:p w14:paraId="3A2FB01C" w14:textId="77777777" w:rsidR="00E85775" w:rsidRPr="00E85775" w:rsidRDefault="00E85775" w:rsidP="00C7548A">
      <w:r w:rsidRPr="00E85775">
        <w:t xml:space="preserve">Le présent </w:t>
      </w:r>
      <w:r w:rsidR="00EB2370">
        <w:t>accord-cadre</w:t>
      </w:r>
      <w:r w:rsidRPr="00E85775">
        <w:t xml:space="preserve"> est soumis au droit administratif français et les juridictions administratives françaises sont seules compétentes pour connaître de ses litiges.</w:t>
      </w:r>
    </w:p>
    <w:p w14:paraId="528400A8" w14:textId="77777777" w:rsidR="00E85775" w:rsidRPr="00E85775" w:rsidRDefault="00E85775" w:rsidP="00C7548A"/>
    <w:p w14:paraId="31EC1EA3" w14:textId="11F511D0" w:rsidR="0058541D" w:rsidRDefault="00E85775" w:rsidP="00C7548A">
      <w:pPr>
        <w:rPr>
          <w:rFonts w:cs="Arial"/>
        </w:rPr>
      </w:pPr>
      <w:r w:rsidRPr="00E85775">
        <w:t xml:space="preserve">Conformément aux dispositions l’article R. 312-11 du code de justice administrative, tout litige résultant de l'interprétation ou de l'exécution du présent </w:t>
      </w:r>
      <w:r w:rsidR="00EB2370">
        <w:t>accord-cadre</w:t>
      </w:r>
      <w:r w:rsidRPr="00E85775">
        <w:t xml:space="preserve"> est de la compétence exclusive du tribunal administratif du lieu d’exécution prévu </w:t>
      </w:r>
      <w:r w:rsidR="0037147F">
        <w:t>de l’accord-cadre</w:t>
      </w:r>
      <w:r w:rsidR="0058541D">
        <w:rPr>
          <w:rFonts w:cs="Arial"/>
        </w:rPr>
        <w:t>.</w:t>
      </w:r>
      <w:r w:rsidR="00E337EE" w:rsidRPr="00E337EE">
        <w:rPr>
          <w:rFonts w:cs="Arial"/>
        </w:rPr>
        <w:t xml:space="preserve"> </w:t>
      </w:r>
      <w:r w:rsidR="0058541D">
        <w:rPr>
          <w:rFonts w:cs="Arial"/>
        </w:rPr>
        <w:t>L</w:t>
      </w:r>
      <w:r w:rsidR="00E337EE" w:rsidRPr="00E337EE">
        <w:rPr>
          <w:rFonts w:cs="Arial"/>
        </w:rPr>
        <w:t xml:space="preserve">e tribunal compétent </w:t>
      </w:r>
      <w:r w:rsidR="001041FB" w:rsidRPr="00E337EE">
        <w:rPr>
          <w:rFonts w:cs="Arial"/>
        </w:rPr>
        <w:t xml:space="preserve">est </w:t>
      </w:r>
      <w:r w:rsidR="001041FB">
        <w:rPr>
          <w:rFonts w:cs="Arial"/>
        </w:rPr>
        <w:t>:</w:t>
      </w:r>
    </w:p>
    <w:p w14:paraId="01B915B5" w14:textId="77777777" w:rsidR="009C4718" w:rsidRDefault="009C4718" w:rsidP="00C7548A">
      <w:pPr>
        <w:rPr>
          <w:rFonts w:cs="Arial"/>
        </w:rPr>
      </w:pPr>
    </w:p>
    <w:p w14:paraId="46685870" w14:textId="0A099137" w:rsidR="0058541D" w:rsidRPr="00CB46F0" w:rsidRDefault="0058541D" w:rsidP="001041FB">
      <w:pPr>
        <w:jc w:val="center"/>
        <w:rPr>
          <w:rFonts w:cs="Arial"/>
          <w:b/>
        </w:rPr>
      </w:pPr>
      <w:r w:rsidRPr="00CB46F0">
        <w:rPr>
          <w:rFonts w:cs="Arial"/>
          <w:b/>
        </w:rPr>
        <w:t>T</w:t>
      </w:r>
      <w:r w:rsidR="00E337EE" w:rsidRPr="00CB46F0">
        <w:rPr>
          <w:rFonts w:cs="Arial"/>
          <w:b/>
        </w:rPr>
        <w:t>ribunal administratif de Paris</w:t>
      </w:r>
    </w:p>
    <w:p w14:paraId="6AC7D6DC" w14:textId="2851D649" w:rsidR="009C4718" w:rsidRPr="00CB46F0" w:rsidRDefault="00E337EE" w:rsidP="008B0309">
      <w:pPr>
        <w:jc w:val="center"/>
        <w:rPr>
          <w:rFonts w:cs="Arial"/>
          <w:b/>
        </w:rPr>
      </w:pPr>
      <w:r w:rsidRPr="00CB46F0">
        <w:rPr>
          <w:rFonts w:cs="Arial"/>
          <w:b/>
        </w:rPr>
        <w:t>7 rue de Jouy</w:t>
      </w:r>
    </w:p>
    <w:p w14:paraId="3697EC3B" w14:textId="2B0B47A2" w:rsidR="00E85775" w:rsidRPr="00CB46F0" w:rsidRDefault="00E337EE" w:rsidP="008B0309">
      <w:pPr>
        <w:jc w:val="center"/>
        <w:rPr>
          <w:b/>
        </w:rPr>
      </w:pPr>
      <w:r w:rsidRPr="00CB46F0">
        <w:rPr>
          <w:rFonts w:cs="Arial"/>
          <w:b/>
        </w:rPr>
        <w:t>75181 PARIS Cedex 4</w:t>
      </w:r>
      <w:r w:rsidR="0054256C" w:rsidRPr="00CB46F0">
        <w:rPr>
          <w:b/>
        </w:rPr>
        <w:t>.</w:t>
      </w:r>
    </w:p>
    <w:p w14:paraId="0B5D8439" w14:textId="4BEE3B5D" w:rsidR="00E337EE" w:rsidRPr="00E337EE" w:rsidRDefault="00D269F9" w:rsidP="00E337EE">
      <w:pPr>
        <w:pStyle w:val="Titre1"/>
        <w:keepLines/>
        <w:numPr>
          <w:ilvl w:val="0"/>
          <w:numId w:val="0"/>
        </w:numPr>
        <w:spacing w:before="240" w:after="0"/>
        <w:rPr>
          <w:rFonts w:ascii="Arial" w:hAnsi="Arial" w:cs="Arial"/>
          <w:sz w:val="22"/>
          <w:szCs w:val="22"/>
        </w:rPr>
      </w:pPr>
      <w:bookmarkStart w:id="314" w:name="_Toc507666687"/>
      <w:bookmarkStart w:id="315" w:name="_Toc50109625"/>
      <w:bookmarkStart w:id="316" w:name="_Toc207979793"/>
      <w:r w:rsidRPr="00E337EE">
        <w:rPr>
          <w:rFonts w:ascii="Arial" w:hAnsi="Arial" w:cs="Arial"/>
          <w:sz w:val="22"/>
          <w:szCs w:val="22"/>
        </w:rPr>
        <w:t>ARTICLE 19</w:t>
      </w:r>
      <w:bookmarkStart w:id="317" w:name="_Toc180140209"/>
      <w:bookmarkEnd w:id="314"/>
      <w:bookmarkEnd w:id="315"/>
      <w:r w:rsidR="00E337EE" w:rsidRPr="00E337EE">
        <w:rPr>
          <w:rFonts w:ascii="Arial" w:hAnsi="Arial" w:cs="Arial"/>
          <w:sz w:val="22"/>
          <w:szCs w:val="22"/>
          <w:lang w:val="fr-FR"/>
        </w:rPr>
        <w:t xml:space="preserve">. </w:t>
      </w:r>
      <w:r w:rsidR="00E337EE" w:rsidRPr="00E337EE">
        <w:rPr>
          <w:rFonts w:ascii="Arial" w:hAnsi="Arial" w:cs="Arial"/>
          <w:sz w:val="22"/>
          <w:szCs w:val="22"/>
        </w:rPr>
        <w:t>DROIT ET LANGUE APPLICABLES AU PRÉSENT ACCORD-CADRE.</w:t>
      </w:r>
      <w:bookmarkEnd w:id="316"/>
      <w:bookmarkEnd w:id="317"/>
    </w:p>
    <w:p w14:paraId="7D4E6B05" w14:textId="64B4E90D" w:rsidR="00E85775" w:rsidRPr="00E85775" w:rsidRDefault="00E85775" w:rsidP="005E3AF0">
      <w:pPr>
        <w:pStyle w:val="Titre"/>
      </w:pPr>
    </w:p>
    <w:p w14:paraId="46D97C95" w14:textId="77777777" w:rsidR="00F24A3B" w:rsidRPr="001746C0" w:rsidRDefault="00F24A3B" w:rsidP="00F24A3B">
      <w:pPr>
        <w:pStyle w:val="Titre2"/>
      </w:pPr>
      <w:bookmarkStart w:id="318" w:name="_Toc207979794"/>
      <w:r>
        <w:t xml:space="preserve">19.1. </w:t>
      </w:r>
      <w:bookmarkStart w:id="319" w:name="_Toc180140210"/>
      <w:r>
        <w:t>Droit applicable</w:t>
      </w:r>
      <w:bookmarkEnd w:id="318"/>
      <w:bookmarkEnd w:id="319"/>
    </w:p>
    <w:p w14:paraId="446CABFB" w14:textId="1454166B" w:rsidR="00E85775" w:rsidRPr="00E85775" w:rsidRDefault="00E85775" w:rsidP="00C7548A"/>
    <w:p w14:paraId="180E9E1E" w14:textId="77777777" w:rsidR="00E85775" w:rsidRPr="00E85775" w:rsidRDefault="00E85775" w:rsidP="00C7548A">
      <w:r w:rsidRPr="00E85775">
        <w:t xml:space="preserve">La loi française en vigueur est la seule applicable au présent </w:t>
      </w:r>
      <w:r w:rsidR="00613497">
        <w:t>accord-cadre</w:t>
      </w:r>
      <w:r w:rsidRPr="00E85775">
        <w:t xml:space="preserve">. </w:t>
      </w:r>
    </w:p>
    <w:p w14:paraId="03D4A7E3" w14:textId="77777777" w:rsidR="00E85775" w:rsidRPr="00E85775" w:rsidRDefault="00E85775" w:rsidP="00C7548A">
      <w:r w:rsidRPr="00E85775">
        <w:t>En cas de litige, les tribunaux français sont seuls compétents.</w:t>
      </w:r>
    </w:p>
    <w:p w14:paraId="103971C8" w14:textId="77777777" w:rsidR="00E85775" w:rsidRPr="00E85775" w:rsidRDefault="00E85775" w:rsidP="00C7548A"/>
    <w:p w14:paraId="06CEAF9F" w14:textId="328445AF" w:rsidR="00E85775" w:rsidRPr="00E85775" w:rsidRDefault="00D269F9" w:rsidP="000F7994">
      <w:pPr>
        <w:pStyle w:val="Titre2"/>
      </w:pPr>
      <w:bookmarkStart w:id="320" w:name="_Toc507666688"/>
      <w:bookmarkStart w:id="321" w:name="_Toc50109626"/>
      <w:bookmarkStart w:id="322" w:name="_Toc207979795"/>
      <w:r>
        <w:rPr>
          <w:lang w:val="fr-FR"/>
        </w:rPr>
        <w:t>19</w:t>
      </w:r>
      <w:r w:rsidR="00F24A3B">
        <w:t>.2</w:t>
      </w:r>
      <w:r w:rsidR="00E85775" w:rsidRPr="00E85775">
        <w:t>. Usage de la langue française.</w:t>
      </w:r>
      <w:bookmarkEnd w:id="320"/>
      <w:bookmarkEnd w:id="321"/>
      <w:bookmarkEnd w:id="322"/>
    </w:p>
    <w:p w14:paraId="42340F73" w14:textId="77777777" w:rsidR="00E85775" w:rsidRPr="00E85775" w:rsidRDefault="00E85775" w:rsidP="00C7548A"/>
    <w:p w14:paraId="62417A74" w14:textId="77777777" w:rsidR="00E85775" w:rsidRPr="00E85775" w:rsidRDefault="00E85775" w:rsidP="00C7548A">
      <w:r w:rsidRPr="00E85775">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00613497">
        <w:t>accord-cadre</w:t>
      </w:r>
      <w:r w:rsidRPr="00E85775">
        <w:t>.</w:t>
      </w:r>
    </w:p>
    <w:p w14:paraId="05039F84" w14:textId="77777777" w:rsidR="00E85775" w:rsidRPr="00E85775" w:rsidRDefault="00E85775" w:rsidP="00C7548A"/>
    <w:p w14:paraId="770B4997" w14:textId="77777777" w:rsidR="00E85775" w:rsidRPr="00E85775" w:rsidRDefault="00E85775" w:rsidP="00C7548A">
      <w:r w:rsidRPr="00E85775">
        <w:t xml:space="preserve">De ce fait, tout rapport, toute documentation et toute correspondance relative au présent </w:t>
      </w:r>
      <w:r w:rsidR="00613497">
        <w:t>accord-cadre</w:t>
      </w:r>
      <w:r w:rsidRPr="00E85775">
        <w:t xml:space="preserve"> doivent être rédigés en français.</w:t>
      </w:r>
    </w:p>
    <w:p w14:paraId="0713205E" w14:textId="77777777" w:rsidR="00E85775" w:rsidRPr="005E3AF0" w:rsidRDefault="00E85775" w:rsidP="00C7548A">
      <w:pPr>
        <w:rPr>
          <w:color w:val="0070C0"/>
        </w:rPr>
      </w:pPr>
    </w:p>
    <w:p w14:paraId="03CD6907" w14:textId="20549364" w:rsidR="00E85775" w:rsidRPr="00405B86" w:rsidRDefault="00D269F9" w:rsidP="000F7994">
      <w:pPr>
        <w:pStyle w:val="Titre2"/>
        <w:rPr>
          <w:lang w:val="fr-FR"/>
        </w:rPr>
      </w:pPr>
      <w:bookmarkStart w:id="323" w:name="_Toc507666689"/>
      <w:bookmarkStart w:id="324" w:name="_Toc50109627"/>
      <w:bookmarkStart w:id="325" w:name="_Toc207979796"/>
      <w:r w:rsidRPr="00405B86">
        <w:rPr>
          <w:lang w:val="fr-FR"/>
        </w:rPr>
        <w:t>19</w:t>
      </w:r>
      <w:r w:rsidR="00F24A3B" w:rsidRPr="00405B86">
        <w:t>.3</w:t>
      </w:r>
      <w:r w:rsidR="00E85775" w:rsidRPr="00405B86">
        <w:t>. Monnaie.</w:t>
      </w:r>
      <w:bookmarkEnd w:id="323"/>
      <w:bookmarkEnd w:id="324"/>
      <w:bookmarkEnd w:id="325"/>
    </w:p>
    <w:p w14:paraId="7A42F1D4" w14:textId="06171541" w:rsidR="00E85775" w:rsidRPr="00405B86" w:rsidRDefault="00E85775" w:rsidP="00C7548A"/>
    <w:p w14:paraId="75444C5F" w14:textId="4E5DD3C2" w:rsidR="00E85775" w:rsidRDefault="00E85775" w:rsidP="00C7548A">
      <w:r w:rsidRPr="00405B86">
        <w:t xml:space="preserve">La monnaie de compte du présent </w:t>
      </w:r>
      <w:r w:rsidR="00613497" w:rsidRPr="00405B86">
        <w:t xml:space="preserve">accord-cadre </w:t>
      </w:r>
      <w:r w:rsidRPr="00405B86">
        <w:t>est l'euro.</w:t>
      </w:r>
    </w:p>
    <w:p w14:paraId="69C111BA" w14:textId="3ECDC0F2" w:rsidR="00E85775" w:rsidRPr="008B0309" w:rsidRDefault="00D269F9" w:rsidP="008B0309">
      <w:pPr>
        <w:pStyle w:val="Titre1"/>
        <w:keepLines/>
        <w:numPr>
          <w:ilvl w:val="0"/>
          <w:numId w:val="0"/>
        </w:numPr>
        <w:spacing w:before="240" w:after="0"/>
        <w:rPr>
          <w:rFonts w:ascii="Arial" w:hAnsi="Arial" w:cs="Arial"/>
          <w:sz w:val="22"/>
          <w:szCs w:val="22"/>
        </w:rPr>
      </w:pPr>
      <w:bookmarkStart w:id="326" w:name="_Toc507666690"/>
      <w:bookmarkStart w:id="327" w:name="_Toc50109628"/>
      <w:bookmarkStart w:id="328" w:name="_Toc207979797"/>
      <w:r w:rsidRPr="00C849CA">
        <w:rPr>
          <w:rFonts w:ascii="Arial" w:hAnsi="Arial" w:cs="Arial"/>
          <w:sz w:val="22"/>
          <w:szCs w:val="22"/>
        </w:rPr>
        <w:t>ARTICLE 20</w:t>
      </w:r>
      <w:r w:rsidR="00E85775" w:rsidRPr="00C849CA">
        <w:rPr>
          <w:rFonts w:ascii="Arial" w:hAnsi="Arial" w:cs="Arial"/>
          <w:sz w:val="22"/>
          <w:szCs w:val="22"/>
        </w:rPr>
        <w:t xml:space="preserve"> – DÉROGATIONS.</w:t>
      </w:r>
      <w:bookmarkEnd w:id="326"/>
      <w:bookmarkEnd w:id="327"/>
      <w:bookmarkEnd w:id="328"/>
    </w:p>
    <w:p w14:paraId="3B4E078C" w14:textId="77777777" w:rsidR="00901BAD" w:rsidRDefault="00901BAD" w:rsidP="00613497">
      <w:pPr>
        <w:spacing w:after="60"/>
        <w:rPr>
          <w:rFonts w:cs="Arial"/>
        </w:rPr>
      </w:pPr>
    </w:p>
    <w:p w14:paraId="7F63938C" w14:textId="743F4BDB" w:rsidR="00CD502D" w:rsidRDefault="00613497" w:rsidP="00613497">
      <w:pPr>
        <w:spacing w:after="60"/>
        <w:rPr>
          <w:rFonts w:cs="Arial"/>
        </w:rPr>
      </w:pPr>
      <w:r w:rsidRPr="00502FA8">
        <w:rPr>
          <w:rFonts w:cs="Arial"/>
        </w:rPr>
        <w:t>L</w:t>
      </w:r>
      <w:r w:rsidR="00CD502D">
        <w:rPr>
          <w:rFonts w:cs="Arial"/>
        </w:rPr>
        <w:t>’</w:t>
      </w:r>
      <w:r w:rsidRPr="00502FA8">
        <w:rPr>
          <w:rFonts w:cs="Arial"/>
        </w:rPr>
        <w:t xml:space="preserve">article 6.2.2 « Remplacement » </w:t>
      </w:r>
      <w:r w:rsidR="00CD502D">
        <w:rPr>
          <w:rFonts w:cs="Arial"/>
        </w:rPr>
        <w:t>déroge aux dispositions de l’article 3.4.3 du CCAG/PI.</w:t>
      </w:r>
    </w:p>
    <w:p w14:paraId="2ED1F7B8" w14:textId="2227421A" w:rsidR="00613497" w:rsidRPr="00502FA8" w:rsidRDefault="00CD502D" w:rsidP="00613497">
      <w:pPr>
        <w:spacing w:after="60"/>
        <w:rPr>
          <w:rFonts w:cs="Arial"/>
        </w:rPr>
      </w:pPr>
      <w:r>
        <w:rPr>
          <w:rFonts w:cs="Arial"/>
        </w:rPr>
        <w:t>L’article</w:t>
      </w:r>
      <w:r w:rsidR="00613497" w:rsidRPr="00502FA8">
        <w:rPr>
          <w:rFonts w:cs="Arial"/>
        </w:rPr>
        <w:t xml:space="preserve"> 6.2.3 « Récusation du personnel du titulaire par la personne publique » déroge aux dispositions de l’article 3.4 du CCAG/PI.</w:t>
      </w:r>
    </w:p>
    <w:p w14:paraId="48191DF1" w14:textId="4C153BCC" w:rsidR="00613497" w:rsidRPr="00502FA8" w:rsidRDefault="00613497" w:rsidP="00613497">
      <w:pPr>
        <w:spacing w:after="60"/>
        <w:rPr>
          <w:rFonts w:cs="Arial"/>
        </w:rPr>
      </w:pPr>
      <w:r w:rsidRPr="00502FA8">
        <w:rPr>
          <w:rFonts w:cs="Arial"/>
        </w:rPr>
        <w:t>L’article 6.</w:t>
      </w:r>
      <w:r w:rsidR="00681A11">
        <w:rPr>
          <w:rFonts w:cs="Arial"/>
        </w:rPr>
        <w:t>7</w:t>
      </w:r>
      <w:r w:rsidRPr="00502FA8">
        <w:rPr>
          <w:rFonts w:cs="Arial"/>
        </w:rPr>
        <w:t>.2 « Objet de la cession » déroge aux dispositions de l’article 35 du CCAG/PI.</w:t>
      </w:r>
    </w:p>
    <w:p w14:paraId="069E8710" w14:textId="6EB402EB" w:rsidR="00613497" w:rsidRPr="00E23FAC" w:rsidRDefault="00613497" w:rsidP="00613497">
      <w:pPr>
        <w:spacing w:after="60"/>
        <w:rPr>
          <w:rFonts w:cs="Arial"/>
        </w:rPr>
      </w:pPr>
      <w:r w:rsidRPr="00502FA8">
        <w:rPr>
          <w:rFonts w:cs="Arial"/>
        </w:rPr>
        <w:t>L’article 9.1 « Opérations de vérification</w:t>
      </w:r>
      <w:r w:rsidRPr="00E23FAC">
        <w:rPr>
          <w:rFonts w:cs="Arial"/>
        </w:rPr>
        <w:t xml:space="preserve"> » déroge aux dispositions de</w:t>
      </w:r>
      <w:r w:rsidR="00C849CA">
        <w:rPr>
          <w:rFonts w:cs="Arial"/>
        </w:rPr>
        <w:t>s</w:t>
      </w:r>
      <w:r w:rsidRPr="00E23FAC">
        <w:rPr>
          <w:rFonts w:cs="Arial"/>
        </w:rPr>
        <w:t xml:space="preserve"> article</w:t>
      </w:r>
      <w:r w:rsidR="00C849CA">
        <w:rPr>
          <w:rFonts w:cs="Arial"/>
        </w:rPr>
        <w:t>s</w:t>
      </w:r>
      <w:r w:rsidRPr="00E23FAC">
        <w:rPr>
          <w:rFonts w:cs="Arial"/>
        </w:rPr>
        <w:t xml:space="preserve"> 28</w:t>
      </w:r>
      <w:r w:rsidR="00C849CA">
        <w:rPr>
          <w:rFonts w:cs="Arial"/>
        </w:rPr>
        <w:t>.1, 28.2 et 28.5</w:t>
      </w:r>
      <w:r w:rsidRPr="00E23FAC">
        <w:rPr>
          <w:rFonts w:cs="Arial"/>
        </w:rPr>
        <w:t xml:space="preserve"> du CCAG/PI.</w:t>
      </w:r>
    </w:p>
    <w:p w14:paraId="0AB0227E" w14:textId="77777777" w:rsidR="00613497" w:rsidRPr="00E23FAC" w:rsidRDefault="00613497" w:rsidP="00613497">
      <w:pPr>
        <w:spacing w:after="60"/>
        <w:rPr>
          <w:rFonts w:cs="Arial"/>
        </w:rPr>
      </w:pPr>
      <w:r w:rsidRPr="00E23FAC">
        <w:rPr>
          <w:rFonts w:cs="Arial"/>
        </w:rPr>
        <w:t>L’article 9.2 « Admission » déroge aux dispositions de l’article 29.1 du CCAG/PI.</w:t>
      </w:r>
    </w:p>
    <w:p w14:paraId="2227FFA9" w14:textId="77777777" w:rsidR="00613497" w:rsidRPr="00E23FAC" w:rsidRDefault="00613497" w:rsidP="00613497">
      <w:pPr>
        <w:spacing w:after="60"/>
        <w:rPr>
          <w:rFonts w:cs="Arial"/>
        </w:rPr>
      </w:pPr>
      <w:r w:rsidRPr="00E23FAC">
        <w:rPr>
          <w:rFonts w:cs="Arial"/>
        </w:rPr>
        <w:t>L’article 9.3 « Ajournement » déroge aux dispositions de l’article 29.2 du CCAG/PI.</w:t>
      </w:r>
    </w:p>
    <w:p w14:paraId="7387BF99" w14:textId="77777777" w:rsidR="00613497" w:rsidRPr="00E23FAC" w:rsidRDefault="00613497" w:rsidP="00613497">
      <w:pPr>
        <w:spacing w:after="60"/>
        <w:rPr>
          <w:rFonts w:cs="Arial"/>
        </w:rPr>
      </w:pPr>
      <w:r w:rsidRPr="00E23FAC">
        <w:rPr>
          <w:rFonts w:cs="Arial"/>
        </w:rPr>
        <w:t>L’article 9.</w:t>
      </w:r>
      <w:r>
        <w:rPr>
          <w:rFonts w:cs="Arial"/>
        </w:rPr>
        <w:t>4</w:t>
      </w:r>
      <w:r w:rsidRPr="00E23FAC">
        <w:rPr>
          <w:rFonts w:cs="Arial"/>
        </w:rPr>
        <w:t xml:space="preserve"> « Réfaction » déroge aux dispositions de l’article 29.3 du CCAG/PI.</w:t>
      </w:r>
    </w:p>
    <w:p w14:paraId="39CE3C2E" w14:textId="5045A31E" w:rsidR="00613497" w:rsidRDefault="00613497" w:rsidP="00613497">
      <w:pPr>
        <w:spacing w:after="60"/>
        <w:rPr>
          <w:rFonts w:cs="Arial"/>
        </w:rPr>
      </w:pPr>
      <w:r w:rsidRPr="00E23FAC">
        <w:rPr>
          <w:rFonts w:cs="Arial"/>
        </w:rPr>
        <w:t>L’article 10.4.</w:t>
      </w:r>
      <w:r w:rsidR="00C849CA">
        <w:rPr>
          <w:rFonts w:cs="Arial"/>
        </w:rPr>
        <w:t>1</w:t>
      </w:r>
      <w:r w:rsidRPr="00E23FAC">
        <w:rPr>
          <w:rFonts w:cs="Arial"/>
        </w:rPr>
        <w:t xml:space="preserve"> « </w:t>
      </w:r>
      <w:r w:rsidR="00C849CA">
        <w:rPr>
          <w:rFonts w:cs="Arial"/>
        </w:rPr>
        <w:t xml:space="preserve">Mois d’établissement </w:t>
      </w:r>
      <w:r w:rsidRPr="00E23FAC">
        <w:rPr>
          <w:rFonts w:cs="Arial"/>
        </w:rPr>
        <w:t>des prix » déroge aux dispositions de l’article 10.2.</w:t>
      </w:r>
      <w:r w:rsidR="00C849CA">
        <w:rPr>
          <w:rFonts w:cs="Arial"/>
        </w:rPr>
        <w:t>4</w:t>
      </w:r>
      <w:r w:rsidRPr="00E23FAC">
        <w:rPr>
          <w:rFonts w:cs="Arial"/>
        </w:rPr>
        <w:t xml:space="preserve"> du CCAG/PI</w:t>
      </w:r>
      <w:r w:rsidR="0058541D">
        <w:rPr>
          <w:rFonts w:cs="Arial"/>
        </w:rPr>
        <w:t>.</w:t>
      </w:r>
    </w:p>
    <w:p w14:paraId="37E78442" w14:textId="59CAEA31" w:rsidR="00613497" w:rsidRDefault="00613497" w:rsidP="00613497">
      <w:pPr>
        <w:spacing w:after="60"/>
        <w:rPr>
          <w:rFonts w:cs="Arial"/>
        </w:rPr>
      </w:pPr>
      <w:r w:rsidRPr="00E637EE">
        <w:rPr>
          <w:rFonts w:cs="Arial"/>
        </w:rPr>
        <w:t>L’article 12</w:t>
      </w:r>
      <w:r w:rsidR="005D5F65">
        <w:rPr>
          <w:rFonts w:cs="Arial"/>
        </w:rPr>
        <w:t>.1</w:t>
      </w:r>
      <w:r w:rsidRPr="00E637EE">
        <w:rPr>
          <w:rFonts w:cs="Arial"/>
        </w:rPr>
        <w:t xml:space="preserve"> « </w:t>
      </w:r>
      <w:r w:rsidR="005D5F65" w:rsidRPr="005D5F65">
        <w:rPr>
          <w:rFonts w:cs="Arial"/>
        </w:rPr>
        <w:t>Modalités de mise en œuvre des pénalités pour retard</w:t>
      </w:r>
      <w:r w:rsidRPr="00E637EE">
        <w:rPr>
          <w:rFonts w:cs="Arial"/>
        </w:rPr>
        <w:t xml:space="preserve"> » déroge aux dispositions de l’article 14</w:t>
      </w:r>
      <w:r w:rsidR="00C849CA">
        <w:rPr>
          <w:rFonts w:cs="Arial"/>
        </w:rPr>
        <w:t>.1</w:t>
      </w:r>
      <w:r w:rsidRPr="00E637EE">
        <w:rPr>
          <w:rFonts w:cs="Arial"/>
        </w:rPr>
        <w:t xml:space="preserve"> du CCAG/PI.</w:t>
      </w:r>
    </w:p>
    <w:p w14:paraId="5387C54A" w14:textId="034F18B9" w:rsidR="005D5F65" w:rsidRDefault="005D5F65" w:rsidP="005D5F65">
      <w:pPr>
        <w:spacing w:after="60"/>
        <w:rPr>
          <w:rFonts w:cs="Arial"/>
        </w:rPr>
      </w:pPr>
      <w:r w:rsidRPr="00E637EE">
        <w:rPr>
          <w:rFonts w:cs="Arial"/>
        </w:rPr>
        <w:t>L’article 12</w:t>
      </w:r>
      <w:r>
        <w:rPr>
          <w:rFonts w:cs="Arial"/>
        </w:rPr>
        <w:t>.2</w:t>
      </w:r>
      <w:r w:rsidRPr="00E637EE">
        <w:rPr>
          <w:rFonts w:cs="Arial"/>
        </w:rPr>
        <w:t xml:space="preserve"> « </w:t>
      </w:r>
      <w:r w:rsidRPr="005D5F65">
        <w:rPr>
          <w:rFonts w:cs="Arial"/>
        </w:rPr>
        <w:t>Pénalités pour les livrables associés à la protection des données à caractère personnel</w:t>
      </w:r>
      <w:r>
        <w:rPr>
          <w:rFonts w:cs="Arial"/>
        </w:rPr>
        <w:t xml:space="preserve"> </w:t>
      </w:r>
      <w:r w:rsidRPr="00E637EE">
        <w:rPr>
          <w:rFonts w:cs="Arial"/>
        </w:rPr>
        <w:t>» déroge aux dispositions de l’article 14 du CCAG/PI.</w:t>
      </w:r>
    </w:p>
    <w:p w14:paraId="0B1DC753" w14:textId="6D3FE0DC" w:rsidR="009B1874" w:rsidRDefault="00613497" w:rsidP="00746EE5">
      <w:pPr>
        <w:spacing w:after="60"/>
      </w:pPr>
      <w:r w:rsidRPr="00AF22FB">
        <w:rPr>
          <w:rFonts w:cs="Arial"/>
        </w:rPr>
        <w:t>L’article 1</w:t>
      </w:r>
      <w:r w:rsidR="0029461F">
        <w:rPr>
          <w:rFonts w:cs="Arial"/>
        </w:rPr>
        <w:t>8</w:t>
      </w:r>
      <w:r w:rsidRPr="00AF22FB">
        <w:rPr>
          <w:rFonts w:cs="Arial"/>
        </w:rPr>
        <w:t>.</w:t>
      </w:r>
      <w:r w:rsidR="00C849CA">
        <w:rPr>
          <w:rFonts w:cs="Arial"/>
        </w:rPr>
        <w:t>1</w:t>
      </w:r>
      <w:r w:rsidRPr="00AF22FB">
        <w:rPr>
          <w:rFonts w:cs="Arial"/>
        </w:rPr>
        <w:t xml:space="preserve"> « R</w:t>
      </w:r>
      <w:r w:rsidR="00C849CA">
        <w:rPr>
          <w:rFonts w:cs="Arial"/>
        </w:rPr>
        <w:t>ecours gracieux</w:t>
      </w:r>
      <w:r w:rsidRPr="00AF22FB">
        <w:rPr>
          <w:rFonts w:cs="Arial"/>
        </w:rPr>
        <w:t xml:space="preserve"> » déroge aux dispositions de l’article 43</w:t>
      </w:r>
      <w:r w:rsidR="00C849CA">
        <w:rPr>
          <w:rFonts w:cs="Arial"/>
        </w:rPr>
        <w:t>.3</w:t>
      </w:r>
      <w:r w:rsidR="008B0309">
        <w:rPr>
          <w:rFonts w:cs="Arial"/>
        </w:rPr>
        <w:t xml:space="preserve"> du CCAG/PI.</w:t>
      </w:r>
      <w:bookmarkEnd w:id="145"/>
      <w:bookmarkEnd w:id="146"/>
      <w:bookmarkEnd w:id="147"/>
      <w:bookmarkEnd w:id="148"/>
      <w:r w:rsidR="009B1874">
        <w:br w:type="page"/>
      </w:r>
    </w:p>
    <w:p w14:paraId="10747BD2" w14:textId="1BB037DB" w:rsidR="00321666" w:rsidRPr="00A0140D" w:rsidRDefault="00552018" w:rsidP="00A0140D">
      <w:pPr>
        <w:pStyle w:val="Titre1"/>
        <w:keepLines/>
        <w:numPr>
          <w:ilvl w:val="0"/>
          <w:numId w:val="0"/>
        </w:numPr>
        <w:spacing w:before="240" w:after="0"/>
        <w:jc w:val="center"/>
        <w:rPr>
          <w:rFonts w:ascii="Arial" w:hAnsi="Arial" w:cs="Arial"/>
          <w:sz w:val="22"/>
          <w:szCs w:val="22"/>
        </w:rPr>
      </w:pPr>
      <w:bookmarkStart w:id="329" w:name="_Toc207979798"/>
      <w:r w:rsidRPr="00A0140D">
        <w:rPr>
          <w:rFonts w:ascii="Arial" w:hAnsi="Arial" w:cs="Arial"/>
          <w:sz w:val="22"/>
          <w:szCs w:val="22"/>
        </w:rPr>
        <w:lastRenderedPageBreak/>
        <w:t xml:space="preserve">ANNEXE </w:t>
      </w:r>
      <w:r w:rsidR="00321666" w:rsidRPr="00A0140D">
        <w:rPr>
          <w:rFonts w:ascii="Arial" w:hAnsi="Arial" w:cs="Arial"/>
          <w:sz w:val="22"/>
          <w:szCs w:val="22"/>
        </w:rPr>
        <w:t>: ANNEXE TECHNIQUE</w:t>
      </w:r>
      <w:bookmarkEnd w:id="329"/>
    </w:p>
    <w:p w14:paraId="5FBED166" w14:textId="77777777" w:rsidR="00321666" w:rsidRDefault="00321666" w:rsidP="00C7548A"/>
    <w:p w14:paraId="3674130B" w14:textId="77777777" w:rsidR="0000324D" w:rsidRDefault="0000324D" w:rsidP="00C7548A"/>
    <w:p w14:paraId="3FEB6CC7" w14:textId="4867BE8F" w:rsidR="0096115F" w:rsidRDefault="00255149" w:rsidP="00255149">
      <w:pPr>
        <w:pStyle w:val="Paragraphedeliste"/>
        <w:spacing w:before="0" w:line="240" w:lineRule="auto"/>
        <w:ind w:left="717"/>
      </w:pPr>
      <w:r w:rsidRPr="003C0C73">
        <w:rPr>
          <w:b/>
          <w:u w:val="single"/>
        </w:rPr>
        <w:t xml:space="preserve">1. </w:t>
      </w:r>
      <w:r w:rsidR="0096115F" w:rsidRPr="003C0C73">
        <w:rPr>
          <w:b/>
          <w:u w:val="single"/>
        </w:rPr>
        <w:t>Présentation du contexte de l’</w:t>
      </w:r>
      <w:r w:rsidRPr="003C0C73">
        <w:rPr>
          <w:b/>
          <w:u w:val="single"/>
        </w:rPr>
        <w:t>observatoire</w:t>
      </w:r>
    </w:p>
    <w:p w14:paraId="51B00B80" w14:textId="77777777" w:rsidR="0025346A" w:rsidRDefault="0025346A" w:rsidP="0096115F">
      <w:pPr>
        <w:rPr>
          <w:bCs/>
          <w:szCs w:val="24"/>
        </w:rPr>
      </w:pPr>
    </w:p>
    <w:p w14:paraId="45B8DAB8" w14:textId="0CAC867C" w:rsidR="0096115F" w:rsidRPr="00B95315" w:rsidRDefault="0096115F" w:rsidP="0096115F">
      <w:pPr>
        <w:rPr>
          <w:bCs/>
          <w:szCs w:val="24"/>
        </w:rPr>
      </w:pPr>
      <w:r w:rsidRPr="00B95315">
        <w:rPr>
          <w:bCs/>
          <w:szCs w:val="24"/>
        </w:rPr>
        <w:t>L’Afrique de l’Est</w:t>
      </w:r>
      <w:r>
        <w:rPr>
          <w:bCs/>
          <w:szCs w:val="24"/>
        </w:rPr>
        <w:t>, c</w:t>
      </w:r>
      <w:r w:rsidRPr="00B95315">
        <w:rPr>
          <w:bCs/>
          <w:szCs w:val="24"/>
        </w:rPr>
        <w:t xml:space="preserve">entrale </w:t>
      </w:r>
      <w:r>
        <w:rPr>
          <w:bCs/>
          <w:szCs w:val="24"/>
        </w:rPr>
        <w:t xml:space="preserve">et australe </w:t>
      </w:r>
      <w:r w:rsidRPr="00B95315">
        <w:rPr>
          <w:bCs/>
          <w:szCs w:val="24"/>
        </w:rPr>
        <w:t>est en proie à de multiples crises et conflits</w:t>
      </w:r>
      <w:r>
        <w:rPr>
          <w:bCs/>
          <w:szCs w:val="24"/>
        </w:rPr>
        <w:t xml:space="preserve">. Ces derniers </w:t>
      </w:r>
      <w:r w:rsidRPr="00B95315">
        <w:rPr>
          <w:bCs/>
          <w:szCs w:val="24"/>
        </w:rPr>
        <w:t>touchent</w:t>
      </w:r>
      <w:r>
        <w:rPr>
          <w:bCs/>
          <w:szCs w:val="24"/>
        </w:rPr>
        <w:t xml:space="preserve"> </w:t>
      </w:r>
      <w:r w:rsidR="003040A5">
        <w:rPr>
          <w:bCs/>
          <w:szCs w:val="24"/>
        </w:rPr>
        <w:t>l’environnement</w:t>
      </w:r>
      <w:r w:rsidRPr="00B95315">
        <w:rPr>
          <w:bCs/>
          <w:szCs w:val="24"/>
        </w:rPr>
        <w:t xml:space="preserve"> immédiat </w:t>
      </w:r>
      <w:r w:rsidR="00972B08">
        <w:rPr>
          <w:bCs/>
          <w:szCs w:val="24"/>
        </w:rPr>
        <w:t xml:space="preserve">de la France </w:t>
      </w:r>
      <w:r>
        <w:rPr>
          <w:bCs/>
          <w:szCs w:val="24"/>
        </w:rPr>
        <w:t>(incluant le territoire national avec Mayotte et la Réunion) et celui de</w:t>
      </w:r>
      <w:r w:rsidRPr="00B95315">
        <w:rPr>
          <w:bCs/>
          <w:szCs w:val="24"/>
        </w:rPr>
        <w:t xml:space="preserve"> partenaires majeurs (Djibouti, Gabon</w:t>
      </w:r>
      <w:r>
        <w:rPr>
          <w:bCs/>
          <w:szCs w:val="24"/>
        </w:rPr>
        <w:t>, Madagascar</w:t>
      </w:r>
      <w:r w:rsidRPr="00B95315">
        <w:rPr>
          <w:bCs/>
          <w:szCs w:val="24"/>
        </w:rPr>
        <w:t>)</w:t>
      </w:r>
      <w:r>
        <w:rPr>
          <w:bCs/>
          <w:szCs w:val="24"/>
        </w:rPr>
        <w:t xml:space="preserve">. De plus, ils </w:t>
      </w:r>
      <w:r w:rsidRPr="00B95315">
        <w:rPr>
          <w:bCs/>
          <w:szCs w:val="24"/>
        </w:rPr>
        <w:t xml:space="preserve">pourraient impliquer de futurs partenaires et puissances continentales (Angola, Ethiopie, </w:t>
      </w:r>
      <w:r>
        <w:rPr>
          <w:bCs/>
          <w:szCs w:val="24"/>
        </w:rPr>
        <w:t xml:space="preserve">Kenya, </w:t>
      </w:r>
      <w:r w:rsidRPr="00B95315">
        <w:rPr>
          <w:bCs/>
          <w:szCs w:val="24"/>
        </w:rPr>
        <w:t>Ouganda, Rwanda</w:t>
      </w:r>
      <w:r>
        <w:rPr>
          <w:bCs/>
          <w:szCs w:val="24"/>
        </w:rPr>
        <w:t>, Mozambique</w:t>
      </w:r>
      <w:r w:rsidRPr="00B95315">
        <w:rPr>
          <w:bCs/>
          <w:szCs w:val="24"/>
        </w:rPr>
        <w:t>). Cette zone, bien que vaste et hétérogène, connaît des problématiques communes et transfrontalières (réseaux de groupes armés, prédation sur les ressources naturelles…). Dans toute la zone, les luttes de pouvoir internes aux régimes et les dynamiques sociales locales sont souvent à la racine des crises et de leur extension à l’échelle régionale.</w:t>
      </w:r>
    </w:p>
    <w:p w14:paraId="3638A2ED" w14:textId="77777777" w:rsidR="0025346A" w:rsidRDefault="0025346A" w:rsidP="0096115F">
      <w:pPr>
        <w:ind w:left="10"/>
        <w:rPr>
          <w:bCs/>
          <w:szCs w:val="24"/>
        </w:rPr>
      </w:pPr>
    </w:p>
    <w:p w14:paraId="5FABA92C" w14:textId="43B29CDD" w:rsidR="0096115F" w:rsidRPr="00B95315" w:rsidRDefault="0096115F" w:rsidP="0096115F">
      <w:pPr>
        <w:ind w:left="10"/>
        <w:rPr>
          <w:bCs/>
          <w:szCs w:val="24"/>
        </w:rPr>
      </w:pPr>
      <w:r w:rsidRPr="00B95315">
        <w:rPr>
          <w:bCs/>
          <w:szCs w:val="24"/>
        </w:rPr>
        <w:t>L’ensemble des pays concernés par cet observatoire sont également des acteurs à part entière des relations internationales. L’Afrique de l’Est</w:t>
      </w:r>
      <w:r>
        <w:rPr>
          <w:bCs/>
          <w:szCs w:val="24"/>
        </w:rPr>
        <w:t>, c</w:t>
      </w:r>
      <w:r w:rsidRPr="00B95315">
        <w:rPr>
          <w:bCs/>
          <w:szCs w:val="24"/>
        </w:rPr>
        <w:t xml:space="preserve">entrale </w:t>
      </w:r>
      <w:r>
        <w:rPr>
          <w:bCs/>
          <w:szCs w:val="24"/>
        </w:rPr>
        <w:t>et australe</w:t>
      </w:r>
      <w:r w:rsidRPr="00B95315">
        <w:rPr>
          <w:bCs/>
          <w:szCs w:val="24"/>
        </w:rPr>
        <w:t xml:space="preserve"> est un théâtre de compétition entre puissances qui défendent des intérêts parfois concurrents à la France (Chine, Russie, Turquie, </w:t>
      </w:r>
      <w:r>
        <w:rPr>
          <w:bCs/>
          <w:szCs w:val="24"/>
        </w:rPr>
        <w:t>É</w:t>
      </w:r>
      <w:r w:rsidRPr="00B95315">
        <w:rPr>
          <w:bCs/>
          <w:szCs w:val="24"/>
        </w:rPr>
        <w:t xml:space="preserve">tats du Golfe…). La France tient une position singulière </w:t>
      </w:r>
      <w:r>
        <w:rPr>
          <w:bCs/>
          <w:szCs w:val="24"/>
        </w:rPr>
        <w:t>dans chacune de ces</w:t>
      </w:r>
      <w:r w:rsidRPr="00B95315">
        <w:rPr>
          <w:bCs/>
          <w:szCs w:val="24"/>
        </w:rPr>
        <w:t xml:space="preserve"> zone</w:t>
      </w:r>
      <w:r>
        <w:rPr>
          <w:bCs/>
          <w:szCs w:val="24"/>
        </w:rPr>
        <w:t>s</w:t>
      </w:r>
      <w:r w:rsidRPr="00B95315">
        <w:rPr>
          <w:bCs/>
          <w:szCs w:val="24"/>
        </w:rPr>
        <w:t> : elle est à la fois un partenaire de premier plan</w:t>
      </w:r>
      <w:r>
        <w:rPr>
          <w:bCs/>
          <w:szCs w:val="24"/>
        </w:rPr>
        <w:t xml:space="preserve"> avec ses voisins immédiats (pays de la Commission de l’Océan Indien)</w:t>
      </w:r>
      <w:r w:rsidRPr="00B95315">
        <w:rPr>
          <w:bCs/>
          <w:szCs w:val="24"/>
        </w:rPr>
        <w:t xml:space="preserve">, </w:t>
      </w:r>
      <w:r>
        <w:rPr>
          <w:bCs/>
          <w:szCs w:val="24"/>
        </w:rPr>
        <w:t xml:space="preserve">un partenaire historique concurrencé (Djibouti, </w:t>
      </w:r>
      <w:r w:rsidRPr="00B95315">
        <w:rPr>
          <w:bCs/>
          <w:szCs w:val="24"/>
        </w:rPr>
        <w:t>Gabon</w:t>
      </w:r>
      <w:r>
        <w:rPr>
          <w:bCs/>
          <w:szCs w:val="24"/>
        </w:rPr>
        <w:t>, Comores</w:t>
      </w:r>
      <w:r w:rsidRPr="00B95315">
        <w:rPr>
          <w:bCs/>
          <w:szCs w:val="24"/>
        </w:rPr>
        <w:t xml:space="preserve">), contesté (Cameroun, </w:t>
      </w:r>
      <w:r>
        <w:rPr>
          <w:bCs/>
          <w:szCs w:val="24"/>
        </w:rPr>
        <w:t>République démocratique du Congo</w:t>
      </w:r>
      <w:r w:rsidRPr="00B95315">
        <w:rPr>
          <w:bCs/>
          <w:szCs w:val="24"/>
        </w:rPr>
        <w:t>) voir</w:t>
      </w:r>
      <w:r>
        <w:rPr>
          <w:bCs/>
          <w:szCs w:val="24"/>
        </w:rPr>
        <w:t>e</w:t>
      </w:r>
      <w:r w:rsidRPr="00B95315">
        <w:rPr>
          <w:bCs/>
          <w:szCs w:val="24"/>
        </w:rPr>
        <w:t xml:space="preserve"> rejeté (</w:t>
      </w:r>
      <w:r>
        <w:rPr>
          <w:bCs/>
          <w:szCs w:val="24"/>
        </w:rPr>
        <w:t>Tchad</w:t>
      </w:r>
      <w:r w:rsidRPr="00B95315">
        <w:rPr>
          <w:bCs/>
          <w:szCs w:val="24"/>
        </w:rPr>
        <w:t>). Sa position doit être étudiée au regard du jeu des a</w:t>
      </w:r>
      <w:r>
        <w:rPr>
          <w:bCs/>
          <w:szCs w:val="24"/>
        </w:rPr>
        <w:t xml:space="preserve">utres puissances dans la région et de l’importance de son intégration en Indopacifique. </w:t>
      </w:r>
    </w:p>
    <w:p w14:paraId="1BA35617" w14:textId="77777777" w:rsidR="0025346A" w:rsidRDefault="0025346A" w:rsidP="0096115F">
      <w:pPr>
        <w:ind w:left="20"/>
        <w:rPr>
          <w:bCs/>
          <w:szCs w:val="24"/>
        </w:rPr>
      </w:pPr>
    </w:p>
    <w:p w14:paraId="5785DF24" w14:textId="3AE91A51" w:rsidR="0096115F" w:rsidRPr="00F55D21" w:rsidRDefault="0096115F" w:rsidP="0096115F">
      <w:pPr>
        <w:ind w:left="20"/>
        <w:rPr>
          <w:bCs/>
          <w:i/>
          <w:szCs w:val="24"/>
        </w:rPr>
      </w:pPr>
      <w:r w:rsidRPr="00B95315">
        <w:rPr>
          <w:bCs/>
          <w:szCs w:val="24"/>
        </w:rPr>
        <w:t xml:space="preserve">Des enquêtes de terrain </w:t>
      </w:r>
      <w:r>
        <w:rPr>
          <w:bCs/>
          <w:szCs w:val="24"/>
        </w:rPr>
        <w:t xml:space="preserve">et des rencontres avec les chercheurs </w:t>
      </w:r>
      <w:r w:rsidRPr="00B95315">
        <w:rPr>
          <w:bCs/>
          <w:szCs w:val="24"/>
        </w:rPr>
        <w:t>doivent permettre d’éclairer d’une part les situations de crise et d’autre part les leviers d’implantation et de défense des intérêts français, ou inversement leur rejet, afin que nous puissions adapter notre politique de défense</w:t>
      </w:r>
      <w:r w:rsidRPr="00B95315">
        <w:rPr>
          <w:bCs/>
          <w:i/>
          <w:szCs w:val="24"/>
        </w:rPr>
        <w:t>.</w:t>
      </w:r>
    </w:p>
    <w:p w14:paraId="45CE3FF8" w14:textId="77777777" w:rsidR="0096115F" w:rsidRPr="00972B08" w:rsidRDefault="0096115F" w:rsidP="0096115F">
      <w:pPr>
        <w:spacing w:before="60" w:after="60"/>
        <w:rPr>
          <w:bCs/>
          <w:szCs w:val="24"/>
        </w:rPr>
      </w:pPr>
    </w:p>
    <w:p w14:paraId="1478E969" w14:textId="420DD718" w:rsidR="0096115F" w:rsidRPr="003C0C73" w:rsidRDefault="00972B08" w:rsidP="008C3033">
      <w:pPr>
        <w:pStyle w:val="Paragraphedeliste"/>
        <w:spacing w:before="0" w:line="240" w:lineRule="auto"/>
        <w:ind w:left="717"/>
        <w:rPr>
          <w:b/>
          <w:u w:val="single"/>
        </w:rPr>
      </w:pPr>
      <w:r w:rsidRPr="003C0C73">
        <w:rPr>
          <w:b/>
          <w:u w:val="single"/>
        </w:rPr>
        <w:t xml:space="preserve">2. </w:t>
      </w:r>
      <w:r w:rsidR="0096115F" w:rsidRPr="003C0C73">
        <w:rPr>
          <w:b/>
          <w:u w:val="single"/>
        </w:rPr>
        <w:t>Présentation de la problématique</w:t>
      </w:r>
      <w:r w:rsidRPr="003C0C73">
        <w:rPr>
          <w:b/>
          <w:u w:val="single"/>
        </w:rPr>
        <w:t xml:space="preserve"> de l’observatoire</w:t>
      </w:r>
    </w:p>
    <w:p w14:paraId="7D9F0C3A" w14:textId="77777777" w:rsidR="0096115F" w:rsidRDefault="0096115F" w:rsidP="0096115F">
      <w:pPr>
        <w:rPr>
          <w:bCs/>
        </w:rPr>
      </w:pPr>
    </w:p>
    <w:p w14:paraId="59A4F7EB" w14:textId="28019760" w:rsidR="0096115F" w:rsidRPr="00912797" w:rsidRDefault="0096115F" w:rsidP="0096115F">
      <w:pPr>
        <w:ind w:left="10"/>
        <w:rPr>
          <w:bCs/>
        </w:rPr>
      </w:pPr>
      <w:r>
        <w:rPr>
          <w:bCs/>
        </w:rPr>
        <w:t xml:space="preserve">Les problématiques sont variées et concernent les enjeux politico-sécuritaires de ces régions. Parmi elles : </w:t>
      </w:r>
      <w:r w:rsidR="00972B08">
        <w:rPr>
          <w:bCs/>
        </w:rPr>
        <w:t>g</w:t>
      </w:r>
      <w:r w:rsidRPr="00912797">
        <w:rPr>
          <w:bCs/>
        </w:rPr>
        <w:t xml:space="preserve">roupes armés, initiatives internationales (missions de l’union Africaine, </w:t>
      </w:r>
      <w:r>
        <w:rPr>
          <w:bCs/>
        </w:rPr>
        <w:t>U</w:t>
      </w:r>
      <w:r w:rsidRPr="00912797">
        <w:rPr>
          <w:bCs/>
        </w:rPr>
        <w:t xml:space="preserve">nion </w:t>
      </w:r>
      <w:r>
        <w:rPr>
          <w:bCs/>
        </w:rPr>
        <w:t>e</w:t>
      </w:r>
      <w:r w:rsidRPr="00912797">
        <w:rPr>
          <w:bCs/>
        </w:rPr>
        <w:t>uropéenne ou Nations</w:t>
      </w:r>
      <w:r>
        <w:rPr>
          <w:bCs/>
        </w:rPr>
        <w:t xml:space="preserve"> u</w:t>
      </w:r>
      <w:r w:rsidRPr="00912797">
        <w:rPr>
          <w:bCs/>
        </w:rPr>
        <w:t>nies), évolution de la situation politico-sécuritaire (transition politique, rébellions…), problématique</w:t>
      </w:r>
      <w:r>
        <w:rPr>
          <w:bCs/>
        </w:rPr>
        <w:t xml:space="preserve">s transfrontalières, terrorisme, dynamiques religieuses et fondamentalistes, tensions communautaires, … </w:t>
      </w:r>
    </w:p>
    <w:p w14:paraId="3D6C1EC9" w14:textId="77777777" w:rsidR="0025346A" w:rsidRDefault="0025346A" w:rsidP="0096115F">
      <w:pPr>
        <w:ind w:left="10"/>
        <w:rPr>
          <w:bCs/>
        </w:rPr>
      </w:pPr>
    </w:p>
    <w:p w14:paraId="28C7CD1C" w14:textId="7ACF3277" w:rsidR="0096115F" w:rsidRDefault="0096115F" w:rsidP="0096115F">
      <w:pPr>
        <w:ind w:left="10"/>
        <w:rPr>
          <w:bCs/>
        </w:rPr>
      </w:pPr>
      <w:r w:rsidRPr="00912797">
        <w:rPr>
          <w:bCs/>
        </w:rPr>
        <w:t>Les clés de lecture pour déchiffrer les sujets d’actualité ou les problématiques de plus long terme</w:t>
      </w:r>
      <w:r w:rsidR="00F44CDE">
        <w:rPr>
          <w:bCs/>
        </w:rPr>
        <w:t>,</w:t>
      </w:r>
      <w:r w:rsidRPr="00912797">
        <w:rPr>
          <w:bCs/>
        </w:rPr>
        <w:t xml:space="preserve"> qui relèvent de la responsabilité de la Direction Générale des Relations Internationales et de la Stratégie (DGRIS) dans cette zone</w:t>
      </w:r>
      <w:r w:rsidR="00F44CDE">
        <w:rPr>
          <w:bCs/>
        </w:rPr>
        <w:t>,</w:t>
      </w:r>
      <w:r w:rsidRPr="00912797">
        <w:rPr>
          <w:bCs/>
        </w:rPr>
        <w:t xml:space="preserve"> sont souvent complexes et ne s’obtiennent qu’en apportant des perspectives historiques, holistiques et critiques aux analyses. Les cellules Afrique </w:t>
      </w:r>
      <w:r w:rsidRPr="00B95315">
        <w:rPr>
          <w:bCs/>
          <w:szCs w:val="24"/>
        </w:rPr>
        <w:t>de l’Est</w:t>
      </w:r>
      <w:r>
        <w:rPr>
          <w:bCs/>
          <w:szCs w:val="24"/>
        </w:rPr>
        <w:t>, c</w:t>
      </w:r>
      <w:r w:rsidRPr="00B95315">
        <w:rPr>
          <w:bCs/>
          <w:szCs w:val="24"/>
        </w:rPr>
        <w:t xml:space="preserve">entrale </w:t>
      </w:r>
      <w:r>
        <w:rPr>
          <w:bCs/>
          <w:szCs w:val="24"/>
        </w:rPr>
        <w:t>et australe</w:t>
      </w:r>
      <w:r w:rsidRPr="00912797">
        <w:rPr>
          <w:bCs/>
        </w:rPr>
        <w:t xml:space="preserve"> ont donc pleinement besoin d’un observatoire sout</w:t>
      </w:r>
      <w:r>
        <w:rPr>
          <w:bCs/>
        </w:rPr>
        <w:t>enant des chercheurs de qualité</w:t>
      </w:r>
      <w:r w:rsidRPr="00912797">
        <w:rPr>
          <w:bCs/>
        </w:rPr>
        <w:t xml:space="preserve"> en mesure de fournir ces clés de lecture.</w:t>
      </w:r>
    </w:p>
    <w:p w14:paraId="141483BD" w14:textId="77777777" w:rsidR="0096115F" w:rsidRPr="00972B08" w:rsidRDefault="0096115F" w:rsidP="00972B08">
      <w:pPr>
        <w:rPr>
          <w:bCs/>
          <w:szCs w:val="24"/>
        </w:rPr>
      </w:pPr>
    </w:p>
    <w:p w14:paraId="720EB7F5" w14:textId="1FDB1D4E" w:rsidR="0096115F" w:rsidRPr="008C3033" w:rsidRDefault="00972B08" w:rsidP="008C3033">
      <w:pPr>
        <w:pStyle w:val="Paragraphedeliste"/>
        <w:spacing w:before="0" w:line="240" w:lineRule="auto"/>
        <w:ind w:left="717"/>
        <w:rPr>
          <w:b/>
          <w:u w:val="single"/>
        </w:rPr>
      </w:pPr>
      <w:r w:rsidRPr="003C0C73">
        <w:rPr>
          <w:b/>
          <w:u w:val="single"/>
        </w:rPr>
        <w:t>3.</w:t>
      </w:r>
      <w:r w:rsidR="008003DF">
        <w:rPr>
          <w:b/>
          <w:u w:val="single"/>
        </w:rPr>
        <w:t xml:space="preserve"> </w:t>
      </w:r>
      <w:r w:rsidR="0096115F" w:rsidRPr="003C0C73">
        <w:rPr>
          <w:b/>
          <w:u w:val="single"/>
        </w:rPr>
        <w:t>Objectifs de l’observatoire</w:t>
      </w:r>
    </w:p>
    <w:p w14:paraId="39B42B17" w14:textId="77777777" w:rsidR="0096115F" w:rsidRPr="00972B08" w:rsidRDefault="0096115F" w:rsidP="008C3033">
      <w:pPr>
        <w:rPr>
          <w:bCs/>
          <w:szCs w:val="24"/>
        </w:rPr>
      </w:pPr>
    </w:p>
    <w:p w14:paraId="5FE1A39E" w14:textId="77777777" w:rsidR="0025346A" w:rsidRDefault="0096115F" w:rsidP="0096115F">
      <w:pPr>
        <w:ind w:left="10"/>
        <w:rPr>
          <w:bCs/>
          <w:szCs w:val="24"/>
        </w:rPr>
      </w:pPr>
      <w:r w:rsidRPr="00DD5993">
        <w:rPr>
          <w:bCs/>
          <w:szCs w:val="24"/>
        </w:rPr>
        <w:t>Les analyses répond</w:t>
      </w:r>
      <w:r>
        <w:rPr>
          <w:bCs/>
          <w:szCs w:val="24"/>
        </w:rPr>
        <w:t xml:space="preserve">ent </w:t>
      </w:r>
      <w:r w:rsidRPr="00DD5993">
        <w:rPr>
          <w:bCs/>
          <w:szCs w:val="24"/>
        </w:rPr>
        <w:t>à des thèmes d’actualité, dans une dé</w:t>
      </w:r>
      <w:r>
        <w:rPr>
          <w:bCs/>
          <w:szCs w:val="24"/>
        </w:rPr>
        <w:t>marche explicative, ou s’inscriv</w:t>
      </w:r>
      <w:r w:rsidRPr="00DD5993">
        <w:rPr>
          <w:bCs/>
          <w:szCs w:val="24"/>
        </w:rPr>
        <w:t>e</w:t>
      </w:r>
      <w:r>
        <w:rPr>
          <w:bCs/>
          <w:szCs w:val="24"/>
        </w:rPr>
        <w:t>nt</w:t>
      </w:r>
      <w:r w:rsidRPr="00DD5993">
        <w:rPr>
          <w:bCs/>
          <w:szCs w:val="24"/>
        </w:rPr>
        <w:t xml:space="preserve"> dans le long terme, dans une démarche prospective. Elles doivent s’appuyer sur des travaux de terrains en capacité de produire des connaissances endogènes et empiriques (entretiens, observations, statistiques…).</w:t>
      </w:r>
    </w:p>
    <w:p w14:paraId="58F874DF" w14:textId="77777777" w:rsidR="0025346A" w:rsidRDefault="0025346A" w:rsidP="0096115F">
      <w:pPr>
        <w:ind w:left="10"/>
        <w:rPr>
          <w:bCs/>
          <w:szCs w:val="24"/>
        </w:rPr>
      </w:pPr>
    </w:p>
    <w:p w14:paraId="4FE5D936" w14:textId="3AF9F03A" w:rsidR="0096115F" w:rsidRPr="00DD5993" w:rsidRDefault="0096115F" w:rsidP="009F0863">
      <w:pPr>
        <w:ind w:left="11"/>
        <w:rPr>
          <w:bCs/>
          <w:szCs w:val="24"/>
        </w:rPr>
      </w:pPr>
      <w:r w:rsidRPr="00DD5993">
        <w:rPr>
          <w:bCs/>
          <w:szCs w:val="24"/>
        </w:rPr>
        <w:t>Les domaines suivants peuvent être étudiés :</w:t>
      </w:r>
    </w:p>
    <w:p w14:paraId="3FCACDE0" w14:textId="77777777" w:rsidR="0096115F" w:rsidRPr="00387A5C" w:rsidRDefault="0096115F" w:rsidP="009F0863">
      <w:pPr>
        <w:pStyle w:val="Paragraphedeliste"/>
        <w:numPr>
          <w:ilvl w:val="0"/>
          <w:numId w:val="37"/>
        </w:numPr>
        <w:spacing w:line="240" w:lineRule="auto"/>
        <w:ind w:left="714" w:right="57" w:hanging="357"/>
        <w:contextualSpacing w:val="0"/>
        <w:rPr>
          <w:bCs/>
          <w:szCs w:val="24"/>
        </w:rPr>
      </w:pPr>
      <w:proofErr w:type="gramStart"/>
      <w:r w:rsidRPr="00387A5C">
        <w:rPr>
          <w:bCs/>
          <w:szCs w:val="24"/>
        </w:rPr>
        <w:t>analyses</w:t>
      </w:r>
      <w:proofErr w:type="gramEnd"/>
      <w:r w:rsidRPr="00387A5C">
        <w:rPr>
          <w:bCs/>
          <w:szCs w:val="24"/>
        </w:rPr>
        <w:t xml:space="preserve"> socio-politiques des différents pays de la région, selon une méthode soit monographique (étude exhaustive portant sur un pays précis) soit comparative ;</w:t>
      </w:r>
    </w:p>
    <w:p w14:paraId="6248DB5F" w14:textId="77777777" w:rsidR="0096115F" w:rsidRPr="003129B0" w:rsidRDefault="0096115F" w:rsidP="009F0863">
      <w:pPr>
        <w:pStyle w:val="Paragraphedeliste"/>
        <w:numPr>
          <w:ilvl w:val="0"/>
          <w:numId w:val="37"/>
        </w:numPr>
        <w:spacing w:line="240" w:lineRule="auto"/>
        <w:ind w:left="714" w:right="57" w:hanging="357"/>
        <w:contextualSpacing w:val="0"/>
        <w:rPr>
          <w:bCs/>
          <w:szCs w:val="24"/>
        </w:rPr>
      </w:pPr>
      <w:proofErr w:type="gramStart"/>
      <w:r w:rsidRPr="003129B0">
        <w:rPr>
          <w:bCs/>
          <w:szCs w:val="24"/>
        </w:rPr>
        <w:t>analyses</w:t>
      </w:r>
      <w:proofErr w:type="gramEnd"/>
      <w:r w:rsidRPr="003129B0">
        <w:rPr>
          <w:bCs/>
          <w:szCs w:val="24"/>
        </w:rPr>
        <w:t xml:space="preserve"> des relations internationales au sein de la région, entre les États de la région et des acteurs extérieurs (États étrangers mais aussi organisations internationales, régionales et sous régionales), et entre la région et le reste du monde. Les interactions avec des États de plus en plus impliqués dans la région peuvent être prioritai</w:t>
      </w:r>
      <w:r>
        <w:rPr>
          <w:bCs/>
          <w:szCs w:val="24"/>
        </w:rPr>
        <w:t>rement étudiées (Russie, Chine</w:t>
      </w:r>
      <w:r w:rsidRPr="003129B0">
        <w:rPr>
          <w:bCs/>
          <w:szCs w:val="24"/>
        </w:rPr>
        <w:t>, Inde, Turquie, pays du Golfe</w:t>
      </w:r>
      <w:r>
        <w:rPr>
          <w:bCs/>
          <w:szCs w:val="24"/>
        </w:rPr>
        <w:t>,</w:t>
      </w:r>
      <w:r w:rsidRPr="003129B0">
        <w:rPr>
          <w:bCs/>
          <w:szCs w:val="24"/>
        </w:rPr>
        <w:t xml:space="preserve"> etc.) ;</w:t>
      </w:r>
    </w:p>
    <w:p w14:paraId="2014B2EA" w14:textId="77777777" w:rsidR="0096115F" w:rsidRDefault="0096115F" w:rsidP="009F0863">
      <w:pPr>
        <w:pStyle w:val="Paragraphedeliste"/>
        <w:numPr>
          <w:ilvl w:val="0"/>
          <w:numId w:val="37"/>
        </w:numPr>
        <w:spacing w:line="240" w:lineRule="auto"/>
        <w:ind w:left="714" w:right="57" w:hanging="357"/>
        <w:contextualSpacing w:val="0"/>
        <w:rPr>
          <w:bCs/>
          <w:szCs w:val="24"/>
        </w:rPr>
      </w:pPr>
      <w:proofErr w:type="gramStart"/>
      <w:r w:rsidRPr="003129B0">
        <w:rPr>
          <w:bCs/>
          <w:szCs w:val="24"/>
        </w:rPr>
        <w:t>analyses</w:t>
      </w:r>
      <w:proofErr w:type="gramEnd"/>
      <w:r w:rsidRPr="003129B0">
        <w:rPr>
          <w:bCs/>
          <w:szCs w:val="24"/>
        </w:rPr>
        <w:t xml:space="preserve"> sur des thèmes particuliers (démocratie et transitions politiques, rôle des armées dans les systèmes politiques, actions des groupes rebelles, régionalisation, architecture régionale de paix et de sécurité, terrorisme, radicalisation religieuse etc.) à déterminer entre le pilote et le titulaire.</w:t>
      </w:r>
    </w:p>
    <w:p w14:paraId="552087F5" w14:textId="77777777" w:rsidR="0096115F" w:rsidRPr="003129B0" w:rsidRDefault="0096115F" w:rsidP="0025346A">
      <w:pPr>
        <w:pStyle w:val="Paragraphedeliste"/>
        <w:ind w:left="0"/>
        <w:rPr>
          <w:bCs/>
          <w:szCs w:val="24"/>
        </w:rPr>
      </w:pPr>
    </w:p>
    <w:p w14:paraId="5C0CB0BF" w14:textId="77777777" w:rsidR="0096115F" w:rsidRDefault="0096115F" w:rsidP="009F0863">
      <w:pPr>
        <w:ind w:left="11"/>
        <w:rPr>
          <w:bCs/>
          <w:szCs w:val="24"/>
        </w:rPr>
      </w:pPr>
      <w:r w:rsidRPr="00DD5993">
        <w:rPr>
          <w:bCs/>
          <w:szCs w:val="24"/>
        </w:rPr>
        <w:t>Ces analyses doivent porter sur les pays couverts par l’observatoire :</w:t>
      </w:r>
    </w:p>
    <w:p w14:paraId="17AEC8F7" w14:textId="77777777" w:rsidR="0096115F" w:rsidRPr="00DD5993" w:rsidRDefault="0096115F" w:rsidP="009F0863">
      <w:pPr>
        <w:pStyle w:val="Paragraphedeliste"/>
        <w:numPr>
          <w:ilvl w:val="0"/>
          <w:numId w:val="37"/>
        </w:numPr>
        <w:spacing w:line="240" w:lineRule="auto"/>
        <w:ind w:left="714" w:right="57" w:hanging="357"/>
        <w:contextualSpacing w:val="0"/>
        <w:rPr>
          <w:bCs/>
          <w:szCs w:val="24"/>
        </w:rPr>
      </w:pPr>
      <w:proofErr w:type="gramStart"/>
      <w:r>
        <w:rPr>
          <w:bCs/>
          <w:szCs w:val="24"/>
        </w:rPr>
        <w:t>p</w:t>
      </w:r>
      <w:r w:rsidRPr="00DD5993">
        <w:rPr>
          <w:bCs/>
          <w:szCs w:val="24"/>
        </w:rPr>
        <w:t>our</w:t>
      </w:r>
      <w:proofErr w:type="gramEnd"/>
      <w:r w:rsidRPr="00DD5993">
        <w:rPr>
          <w:bCs/>
          <w:szCs w:val="24"/>
        </w:rPr>
        <w:t xml:space="preserve"> l’Afrique Centrale : Angola, Burundi, Cameroun, Congo, Gabon, Guinée-Equatoriale, Sao-Tomé, </w:t>
      </w:r>
      <w:r>
        <w:rPr>
          <w:bCs/>
          <w:szCs w:val="24"/>
        </w:rPr>
        <w:t>République centrafricaine</w:t>
      </w:r>
      <w:r w:rsidRPr="00DD5993">
        <w:rPr>
          <w:bCs/>
          <w:szCs w:val="24"/>
        </w:rPr>
        <w:t xml:space="preserve">, </w:t>
      </w:r>
      <w:r>
        <w:rPr>
          <w:bCs/>
          <w:szCs w:val="24"/>
        </w:rPr>
        <w:t>République démocratique du Congo</w:t>
      </w:r>
      <w:r w:rsidRPr="00DD5993">
        <w:rPr>
          <w:bCs/>
          <w:szCs w:val="24"/>
        </w:rPr>
        <w:t>, Rwanda ;</w:t>
      </w:r>
    </w:p>
    <w:p w14:paraId="27606F64" w14:textId="77777777" w:rsidR="0096115F" w:rsidRDefault="0096115F" w:rsidP="009F0863">
      <w:pPr>
        <w:pStyle w:val="Paragraphedeliste"/>
        <w:numPr>
          <w:ilvl w:val="0"/>
          <w:numId w:val="37"/>
        </w:numPr>
        <w:spacing w:line="240" w:lineRule="auto"/>
        <w:ind w:left="714" w:right="57" w:hanging="357"/>
        <w:contextualSpacing w:val="0"/>
        <w:rPr>
          <w:bCs/>
          <w:szCs w:val="24"/>
        </w:rPr>
      </w:pPr>
      <w:proofErr w:type="gramStart"/>
      <w:r>
        <w:rPr>
          <w:bCs/>
          <w:szCs w:val="24"/>
        </w:rPr>
        <w:t>p</w:t>
      </w:r>
      <w:r w:rsidRPr="00DD5993">
        <w:rPr>
          <w:bCs/>
          <w:szCs w:val="24"/>
        </w:rPr>
        <w:t>our</w:t>
      </w:r>
      <w:proofErr w:type="gramEnd"/>
      <w:r w:rsidRPr="00DD5993">
        <w:rPr>
          <w:bCs/>
          <w:szCs w:val="24"/>
        </w:rPr>
        <w:t xml:space="preserve"> l’Afrique de l’Est : Djibouti, Ethiopie, Erythrée, Kenya, Ouganda, S</w:t>
      </w:r>
      <w:r>
        <w:rPr>
          <w:bCs/>
          <w:szCs w:val="24"/>
        </w:rPr>
        <w:t>omalie, Soudan et Soudan du Sud ;</w:t>
      </w:r>
    </w:p>
    <w:p w14:paraId="399E29FE" w14:textId="77777777" w:rsidR="0096115F" w:rsidRPr="00893070" w:rsidRDefault="0096115F" w:rsidP="009F0863">
      <w:pPr>
        <w:pStyle w:val="Paragraphedeliste"/>
        <w:numPr>
          <w:ilvl w:val="0"/>
          <w:numId w:val="37"/>
        </w:numPr>
        <w:spacing w:line="240" w:lineRule="auto"/>
        <w:ind w:left="714" w:right="57" w:hanging="357"/>
        <w:contextualSpacing w:val="0"/>
        <w:rPr>
          <w:bCs/>
          <w:szCs w:val="24"/>
        </w:rPr>
      </w:pPr>
      <w:proofErr w:type="gramStart"/>
      <w:r>
        <w:rPr>
          <w:bCs/>
          <w:szCs w:val="24"/>
        </w:rPr>
        <w:lastRenderedPageBreak/>
        <w:t>pour</w:t>
      </w:r>
      <w:proofErr w:type="gramEnd"/>
      <w:r>
        <w:rPr>
          <w:bCs/>
          <w:szCs w:val="24"/>
        </w:rPr>
        <w:t xml:space="preserve"> l’Afrique australe : Mozambique, Comores, Madagascar, Maurice, Seychelles, Botswana, Afrique du Sud, Tanzanie, </w:t>
      </w:r>
      <w:proofErr w:type="spellStart"/>
      <w:r>
        <w:rPr>
          <w:bCs/>
          <w:szCs w:val="24"/>
        </w:rPr>
        <w:t>Eswatini</w:t>
      </w:r>
      <w:proofErr w:type="spellEnd"/>
      <w:r>
        <w:rPr>
          <w:bCs/>
          <w:szCs w:val="24"/>
        </w:rPr>
        <w:t xml:space="preserve">, Lesotho, Namibie, Malawi, Zambie, Zimbabwe. </w:t>
      </w:r>
    </w:p>
    <w:p w14:paraId="40274F10" w14:textId="77777777" w:rsidR="00972B08" w:rsidRDefault="00972B08" w:rsidP="0096115F">
      <w:pPr>
        <w:shd w:val="clear" w:color="auto" w:fill="FFFFFF" w:themeFill="background1"/>
        <w:ind w:left="10"/>
        <w:rPr>
          <w:bCs/>
          <w:szCs w:val="24"/>
        </w:rPr>
      </w:pPr>
    </w:p>
    <w:p w14:paraId="03BDC6E0" w14:textId="4A8735C9" w:rsidR="0096115F" w:rsidRDefault="0096115F" w:rsidP="0096115F">
      <w:pPr>
        <w:shd w:val="clear" w:color="auto" w:fill="FFFFFF" w:themeFill="background1"/>
        <w:ind w:left="10"/>
        <w:rPr>
          <w:bCs/>
          <w:szCs w:val="24"/>
        </w:rPr>
      </w:pPr>
      <w:r w:rsidRPr="00DD5993">
        <w:rPr>
          <w:bCs/>
          <w:szCs w:val="24"/>
        </w:rPr>
        <w:t xml:space="preserve">Cette production de connaissances et d’analyses doit permettre le rayonnement de l’institut ou du centre de recherche sélectionné mais aussi celui de la DGRIS elle-même en tant que pilote des travaux de prospective stratégique du ministère des Armées, chargée d’animer, dans son champ de compétence, les relations avec le monde universitaire et les instituts de recherche. </w:t>
      </w:r>
    </w:p>
    <w:p w14:paraId="28EF9661" w14:textId="77777777" w:rsidR="0025346A" w:rsidRDefault="0025346A" w:rsidP="0096115F">
      <w:pPr>
        <w:rPr>
          <w:rFonts w:eastAsia="Times New Roman"/>
        </w:rPr>
      </w:pPr>
    </w:p>
    <w:p w14:paraId="22832B6F" w14:textId="120019EF" w:rsidR="0096115F" w:rsidRPr="004F1AAE" w:rsidRDefault="0096115F" w:rsidP="0096115F">
      <w:pPr>
        <w:rPr>
          <w:rFonts w:eastAsia="Times New Roman"/>
        </w:rPr>
      </w:pPr>
      <w:r w:rsidRPr="004F1AAE">
        <w:rPr>
          <w:rFonts w:eastAsia="Times New Roman"/>
        </w:rPr>
        <w:t>La nécessité de produire des travaux de terrain doit permettre à de jeunes chercheurs de s’appuyer sur l’observatoire pour obtenir un soutien financier à leurs travaux de recherche.</w:t>
      </w:r>
    </w:p>
    <w:p w14:paraId="50753442" w14:textId="77777777" w:rsidR="0025346A" w:rsidRDefault="0025346A" w:rsidP="0096115F">
      <w:pPr>
        <w:rPr>
          <w:rFonts w:eastAsia="Times New Roman"/>
        </w:rPr>
      </w:pPr>
    </w:p>
    <w:p w14:paraId="1D2613AC" w14:textId="6C994EE9" w:rsidR="0096115F" w:rsidRPr="004F1AAE" w:rsidRDefault="0096115F" w:rsidP="0096115F">
      <w:pPr>
        <w:rPr>
          <w:rFonts w:eastAsia="Times New Roman"/>
        </w:rPr>
      </w:pPr>
      <w:r w:rsidRPr="004F1AAE">
        <w:rPr>
          <w:rFonts w:eastAsia="Times New Roman"/>
        </w:rPr>
        <w:t>Par ailleurs, l’un des atouts majeurs de cet observatoire réside dans sa capacité à rapprocher le monde académique et le MINARM, notamment à travers l’organisation de rencontres, de séminaires etc.</w:t>
      </w:r>
    </w:p>
    <w:p w14:paraId="697F8CBB" w14:textId="77777777" w:rsidR="00972B08" w:rsidRPr="00972B08" w:rsidRDefault="00972B08" w:rsidP="009F0863">
      <w:pPr>
        <w:rPr>
          <w:bCs/>
          <w:szCs w:val="24"/>
        </w:rPr>
      </w:pPr>
    </w:p>
    <w:p w14:paraId="5D46D8C5" w14:textId="0F892FBA" w:rsidR="00972B08" w:rsidRPr="003C0C73" w:rsidRDefault="00972B08" w:rsidP="009F0863">
      <w:pPr>
        <w:pStyle w:val="Paragraphedeliste"/>
        <w:spacing w:before="0" w:line="240" w:lineRule="auto"/>
        <w:ind w:left="717"/>
        <w:rPr>
          <w:b/>
          <w:u w:val="single"/>
        </w:rPr>
      </w:pPr>
      <w:r w:rsidRPr="003C0C73">
        <w:rPr>
          <w:b/>
          <w:u w:val="single"/>
        </w:rPr>
        <w:t>4.</w:t>
      </w:r>
      <w:r w:rsidR="008003DF">
        <w:rPr>
          <w:b/>
          <w:u w:val="single"/>
        </w:rPr>
        <w:t xml:space="preserve"> </w:t>
      </w:r>
      <w:r w:rsidRPr="003C0C73">
        <w:rPr>
          <w:b/>
          <w:u w:val="single"/>
        </w:rPr>
        <w:t>Caractéristiques des prestations attendues</w:t>
      </w:r>
    </w:p>
    <w:p w14:paraId="01F6DA8E" w14:textId="77777777" w:rsidR="00972B08" w:rsidRPr="00972B08" w:rsidRDefault="00972B08" w:rsidP="009F0863">
      <w:pPr>
        <w:rPr>
          <w:bCs/>
          <w:szCs w:val="24"/>
        </w:rPr>
      </w:pPr>
    </w:p>
    <w:p w14:paraId="762B3D05" w14:textId="77777777" w:rsidR="00972B08" w:rsidRPr="00972B08" w:rsidRDefault="00972B08" w:rsidP="009F0863">
      <w:pPr>
        <w:rPr>
          <w:bCs/>
          <w:szCs w:val="24"/>
        </w:rPr>
      </w:pPr>
      <w:r w:rsidRPr="006B5D26">
        <w:rPr>
          <w:b/>
          <w:bCs/>
          <w:szCs w:val="24"/>
        </w:rPr>
        <w:t>Pour chaque période</w:t>
      </w:r>
      <w:r w:rsidRPr="00972B08">
        <w:rPr>
          <w:bCs/>
          <w:szCs w:val="24"/>
        </w:rPr>
        <w:t>, les prestations prévues au titre du présent accord-cadre sont les suivantes :</w:t>
      </w:r>
    </w:p>
    <w:p w14:paraId="73D0D4F0" w14:textId="77777777" w:rsidR="00972B08" w:rsidRPr="00972B08" w:rsidRDefault="00972B08" w:rsidP="009F0863">
      <w:pPr>
        <w:rPr>
          <w:bCs/>
          <w:szCs w:val="24"/>
        </w:rPr>
      </w:pPr>
    </w:p>
    <w:p w14:paraId="3EF33F25" w14:textId="2181BBE3" w:rsidR="0096115F" w:rsidRPr="00972B08" w:rsidRDefault="00972B08" w:rsidP="009F0863">
      <w:pPr>
        <w:ind w:left="357"/>
        <w:rPr>
          <w:b/>
        </w:rPr>
      </w:pPr>
      <w:r w:rsidRPr="00972B08">
        <w:rPr>
          <w:b/>
        </w:rPr>
        <w:t>4.1</w:t>
      </w:r>
      <w:r w:rsidRPr="00972B08">
        <w:rPr>
          <w:b/>
        </w:rPr>
        <w:tab/>
        <w:t xml:space="preserve">Poste forfaitaire 1 (PF1) : </w:t>
      </w:r>
      <w:r w:rsidR="00A277B4">
        <w:rPr>
          <w:b/>
        </w:rPr>
        <w:t>quatre</w:t>
      </w:r>
      <w:r w:rsidRPr="00972B08">
        <w:rPr>
          <w:b/>
        </w:rPr>
        <w:t xml:space="preserve"> (</w:t>
      </w:r>
      <w:r w:rsidR="00A277B4">
        <w:rPr>
          <w:b/>
        </w:rPr>
        <w:t>4</w:t>
      </w:r>
      <w:r w:rsidRPr="00972B08">
        <w:rPr>
          <w:b/>
        </w:rPr>
        <w:t>) notes de recherche</w:t>
      </w:r>
      <w:r w:rsidR="00A277B4">
        <w:rPr>
          <w:b/>
        </w:rPr>
        <w:t xml:space="preserve"> et quatre</w:t>
      </w:r>
      <w:r w:rsidR="00471AD9">
        <w:rPr>
          <w:b/>
        </w:rPr>
        <w:t xml:space="preserve"> (</w:t>
      </w:r>
      <w:r w:rsidR="00A277B4">
        <w:rPr>
          <w:b/>
        </w:rPr>
        <w:t>4</w:t>
      </w:r>
      <w:r w:rsidR="00471AD9">
        <w:rPr>
          <w:b/>
        </w:rPr>
        <w:t xml:space="preserve">) résumés en langue française </w:t>
      </w:r>
      <w:r w:rsidR="0025346A">
        <w:rPr>
          <w:b/>
        </w:rPr>
        <w:t xml:space="preserve">traduits </w:t>
      </w:r>
      <w:r w:rsidR="00471AD9">
        <w:rPr>
          <w:b/>
        </w:rPr>
        <w:t>en langue anglaise</w:t>
      </w:r>
    </w:p>
    <w:p w14:paraId="2E2FD03F" w14:textId="0FADC345" w:rsidR="0096115F" w:rsidRPr="00972B08" w:rsidRDefault="0096115F" w:rsidP="009F0863">
      <w:pPr>
        <w:rPr>
          <w:bCs/>
          <w:szCs w:val="24"/>
        </w:rPr>
      </w:pPr>
    </w:p>
    <w:p w14:paraId="6D4FBBF6" w14:textId="2A62A5AA" w:rsidR="00FC529F" w:rsidRDefault="0096115F" w:rsidP="0096115F">
      <w:pPr>
        <w:spacing w:after="160" w:line="259" w:lineRule="auto"/>
        <w:rPr>
          <w:rFonts w:eastAsiaTheme="minorHAnsi"/>
          <w:lang w:eastAsia="en-US"/>
        </w:rPr>
      </w:pPr>
      <w:r>
        <w:rPr>
          <w:rFonts w:eastAsiaTheme="minorHAnsi"/>
          <w:lang w:eastAsia="en-US"/>
        </w:rPr>
        <w:t xml:space="preserve">Le titulaire doit produire </w:t>
      </w:r>
      <w:r w:rsidR="00A277B4">
        <w:rPr>
          <w:rFonts w:eastAsiaTheme="minorHAnsi"/>
          <w:lang w:eastAsia="en-US"/>
        </w:rPr>
        <w:t>quatre</w:t>
      </w:r>
      <w:r w:rsidR="007250D2" w:rsidRPr="0048389F">
        <w:rPr>
          <w:rFonts w:eastAsiaTheme="minorHAnsi"/>
          <w:lang w:eastAsia="en-US"/>
        </w:rPr>
        <w:t xml:space="preserve"> </w:t>
      </w:r>
      <w:r>
        <w:rPr>
          <w:rFonts w:eastAsiaTheme="minorHAnsi"/>
          <w:lang w:eastAsia="en-US"/>
        </w:rPr>
        <w:t>notes de recherche par an</w:t>
      </w:r>
      <w:r w:rsidR="00FC529F">
        <w:rPr>
          <w:rFonts w:eastAsiaTheme="minorHAnsi"/>
          <w:lang w:eastAsia="en-US"/>
        </w:rPr>
        <w:t xml:space="preserve"> en langue française</w:t>
      </w:r>
      <w:r>
        <w:rPr>
          <w:rFonts w:eastAsiaTheme="minorHAnsi"/>
          <w:lang w:eastAsia="en-US"/>
        </w:rPr>
        <w:t>, de 20</w:t>
      </w:r>
      <w:r w:rsidRPr="0048389F">
        <w:rPr>
          <w:rFonts w:eastAsiaTheme="minorHAnsi"/>
          <w:lang w:eastAsia="en-US"/>
        </w:rPr>
        <w:t xml:space="preserve"> pages maximum (annexes comprises), sur la base d’un travail de terrain</w:t>
      </w:r>
      <w:r>
        <w:rPr>
          <w:rFonts w:eastAsiaTheme="minorHAnsi"/>
          <w:lang w:eastAsia="en-US"/>
        </w:rPr>
        <w:t xml:space="preserve">. </w:t>
      </w:r>
      <w:r w:rsidR="00FC529F" w:rsidRPr="00262F75">
        <w:rPr>
          <w:rFonts w:eastAsiaTheme="minorHAnsi"/>
          <w:lang w:eastAsia="en-US"/>
        </w:rPr>
        <w:t xml:space="preserve">Des recommandations pour le ministère des Armées </w:t>
      </w:r>
      <w:r w:rsidR="00FC529F">
        <w:rPr>
          <w:rFonts w:eastAsiaTheme="minorHAnsi"/>
          <w:lang w:eastAsia="en-US"/>
        </w:rPr>
        <w:t>doivent être</w:t>
      </w:r>
      <w:r w:rsidR="00FC529F" w:rsidRPr="00262F75">
        <w:rPr>
          <w:rFonts w:eastAsiaTheme="minorHAnsi"/>
          <w:lang w:eastAsia="en-US"/>
        </w:rPr>
        <w:t xml:space="preserve"> </w:t>
      </w:r>
      <w:r w:rsidR="00FC529F">
        <w:rPr>
          <w:rFonts w:eastAsiaTheme="minorHAnsi"/>
          <w:lang w:eastAsia="en-US"/>
        </w:rPr>
        <w:t>inscrites</w:t>
      </w:r>
      <w:r w:rsidR="00FC529F" w:rsidRPr="00262F75">
        <w:rPr>
          <w:rFonts w:eastAsiaTheme="minorHAnsi"/>
          <w:lang w:eastAsia="en-US"/>
        </w:rPr>
        <w:t xml:space="preserve"> à la fin de chaque note (1-3 pages maximum) dans une annexe qui ne sera pas rendue publique.</w:t>
      </w:r>
      <w:r w:rsidR="00FC529F">
        <w:rPr>
          <w:rFonts w:eastAsiaTheme="minorHAnsi"/>
          <w:lang w:eastAsia="en-US"/>
        </w:rPr>
        <w:t xml:space="preserve"> </w:t>
      </w:r>
      <w:r w:rsidR="00FC529F" w:rsidRPr="0048389F">
        <w:rPr>
          <w:rFonts w:eastAsiaTheme="minorHAnsi"/>
          <w:lang w:eastAsia="en-US"/>
        </w:rPr>
        <w:t>Ces notes son</w:t>
      </w:r>
      <w:r w:rsidR="00FC529F">
        <w:rPr>
          <w:rFonts w:eastAsiaTheme="minorHAnsi"/>
          <w:lang w:eastAsia="en-US"/>
        </w:rPr>
        <w:t>t remises à un rythme trimestriel</w:t>
      </w:r>
      <w:r w:rsidR="00FC529F" w:rsidRPr="0048389F">
        <w:rPr>
          <w:rFonts w:eastAsiaTheme="minorHAnsi"/>
          <w:lang w:eastAsia="en-US"/>
        </w:rPr>
        <w:t>, à compter de l</w:t>
      </w:r>
      <w:r w:rsidR="00FC529F">
        <w:rPr>
          <w:rFonts w:eastAsiaTheme="minorHAnsi"/>
          <w:lang w:eastAsia="en-US"/>
        </w:rPr>
        <w:t>a date de notification de l’accord-cadre.</w:t>
      </w:r>
    </w:p>
    <w:p w14:paraId="67E979D6" w14:textId="11F6575A" w:rsidR="0025346A" w:rsidRDefault="0025346A" w:rsidP="0025346A">
      <w:pPr>
        <w:spacing w:after="160" w:line="259" w:lineRule="auto"/>
        <w:rPr>
          <w:rFonts w:eastAsiaTheme="minorHAnsi"/>
          <w:lang w:eastAsia="en-US"/>
        </w:rPr>
      </w:pPr>
      <w:r>
        <w:rPr>
          <w:rFonts w:eastAsiaTheme="minorHAnsi"/>
          <w:lang w:eastAsia="en-US"/>
        </w:rPr>
        <w:t xml:space="preserve">En complément, </w:t>
      </w:r>
      <w:r w:rsidR="00FF08A8">
        <w:rPr>
          <w:rFonts w:eastAsiaTheme="minorHAnsi"/>
          <w:lang w:eastAsia="en-US"/>
        </w:rPr>
        <w:t>le titulaire</w:t>
      </w:r>
      <w:r>
        <w:rPr>
          <w:rFonts w:eastAsiaTheme="minorHAnsi"/>
          <w:lang w:eastAsia="en-US"/>
        </w:rPr>
        <w:t xml:space="preserve"> doit fournir quatre résumés des notes de recherche de 3 pages maximum, rédigés en français et traduits en anglais</w:t>
      </w:r>
      <w:r w:rsidRPr="0048389F">
        <w:rPr>
          <w:rFonts w:eastAsiaTheme="minorHAnsi"/>
          <w:lang w:eastAsia="en-US"/>
        </w:rPr>
        <w:t xml:space="preserve">. </w:t>
      </w:r>
    </w:p>
    <w:p w14:paraId="02F3ED8C" w14:textId="44B5A191" w:rsidR="0025346A" w:rsidRPr="0048389F" w:rsidRDefault="0025346A" w:rsidP="0025346A">
      <w:pPr>
        <w:spacing w:after="160" w:line="259" w:lineRule="auto"/>
        <w:rPr>
          <w:rFonts w:eastAsiaTheme="minorHAnsi"/>
          <w:lang w:eastAsia="en-US"/>
        </w:rPr>
      </w:pPr>
      <w:r w:rsidRPr="0048389F">
        <w:rPr>
          <w:bCs/>
        </w:rPr>
        <w:t xml:space="preserve">Les sujets </w:t>
      </w:r>
      <w:r>
        <w:rPr>
          <w:bCs/>
        </w:rPr>
        <w:t xml:space="preserve">des notes de recherche </w:t>
      </w:r>
      <w:r w:rsidRPr="0048389F">
        <w:rPr>
          <w:bCs/>
        </w:rPr>
        <w:t>sont déterminés au début de l’année d’exercice budgétaire</w:t>
      </w:r>
      <w:r>
        <w:rPr>
          <w:bCs/>
        </w:rPr>
        <w:t xml:space="preserve"> </w:t>
      </w:r>
      <w:r w:rsidR="00FF08A8">
        <w:rPr>
          <w:bCs/>
        </w:rPr>
        <w:t>lors de la</w:t>
      </w:r>
      <w:r w:rsidRPr="0048389F">
        <w:rPr>
          <w:bCs/>
        </w:rPr>
        <w:t xml:space="preserve"> réunion </w:t>
      </w:r>
      <w:r w:rsidR="00FF08A8">
        <w:rPr>
          <w:bCs/>
        </w:rPr>
        <w:t>de lancement</w:t>
      </w:r>
      <w:r w:rsidRPr="0048389F">
        <w:rPr>
          <w:bCs/>
        </w:rPr>
        <w:t>. Ils p</w:t>
      </w:r>
      <w:r>
        <w:rPr>
          <w:bCs/>
        </w:rPr>
        <w:t>euve</w:t>
      </w:r>
      <w:r w:rsidRPr="0048389F">
        <w:rPr>
          <w:bCs/>
        </w:rPr>
        <w:t>nt évoluer selon les contraintes/besoins et font en amont l’objet d’un synopsis et d’un plan soumis à la validation des pilotes</w:t>
      </w:r>
      <w:r>
        <w:rPr>
          <w:bCs/>
        </w:rPr>
        <w:t xml:space="preserve"> de l’observatoire</w:t>
      </w:r>
      <w:r w:rsidRPr="0048389F">
        <w:rPr>
          <w:bCs/>
        </w:rPr>
        <w:t>.</w:t>
      </w:r>
    </w:p>
    <w:p w14:paraId="2BD6252D" w14:textId="02A34A1D" w:rsidR="000E4861" w:rsidRDefault="0025346A" w:rsidP="00FC529F">
      <w:pPr>
        <w:spacing w:after="160" w:line="259" w:lineRule="auto"/>
        <w:rPr>
          <w:rFonts w:eastAsiaTheme="minorHAnsi"/>
          <w:lang w:eastAsia="en-US"/>
        </w:rPr>
      </w:pPr>
      <w:r>
        <w:rPr>
          <w:rFonts w:eastAsiaTheme="minorHAnsi"/>
          <w:lang w:eastAsia="en-US"/>
        </w:rPr>
        <w:t>Un projet de chaque note de recherche doit être transmis par le titulaire un mois avant la réception de la version finalisée de chaque note de recherche.</w:t>
      </w:r>
      <w:r w:rsidR="00FC529F">
        <w:rPr>
          <w:rFonts w:eastAsiaTheme="minorHAnsi"/>
          <w:lang w:eastAsia="en-US"/>
        </w:rPr>
        <w:t xml:space="preserve"> </w:t>
      </w:r>
    </w:p>
    <w:p w14:paraId="7AA65A1C" w14:textId="68F55C0E" w:rsidR="000E4861" w:rsidRDefault="000E4861" w:rsidP="00FC529F">
      <w:pPr>
        <w:spacing w:after="160" w:line="259" w:lineRule="auto"/>
        <w:rPr>
          <w:rFonts w:eastAsiaTheme="minorHAnsi"/>
          <w:lang w:eastAsia="en-US"/>
        </w:rPr>
      </w:pPr>
      <w:r>
        <w:rPr>
          <w:rFonts w:eastAsiaTheme="minorHAnsi"/>
          <w:lang w:eastAsia="en-US"/>
        </w:rPr>
        <w:t xml:space="preserve">Au titre du poste forfaitaire 1, le titulaire chiffre les coûts des réunions </w:t>
      </w:r>
      <w:r>
        <w:t>inscrites à l’article 5 de l’annexe technique du CCP valant AE</w:t>
      </w:r>
      <w:r w:rsidR="00CB2B38">
        <w:t>.</w:t>
      </w:r>
    </w:p>
    <w:p w14:paraId="7D52D18A" w14:textId="471ED108" w:rsidR="0096115F" w:rsidRPr="00471AD9" w:rsidRDefault="00471AD9" w:rsidP="00471AD9">
      <w:pPr>
        <w:ind w:left="357"/>
        <w:rPr>
          <w:b/>
        </w:rPr>
      </w:pPr>
      <w:r>
        <w:rPr>
          <w:b/>
        </w:rPr>
        <w:t xml:space="preserve">4.2 </w:t>
      </w:r>
      <w:r w:rsidR="0096115F" w:rsidRPr="00471AD9">
        <w:rPr>
          <w:b/>
        </w:rPr>
        <w:t>Poste forfaitaire n°2</w:t>
      </w:r>
      <w:r w:rsidR="009F0863">
        <w:rPr>
          <w:b/>
        </w:rPr>
        <w:t xml:space="preserve"> (PF2)</w:t>
      </w:r>
      <w:r w:rsidR="0096115F" w:rsidRPr="00471AD9">
        <w:rPr>
          <w:b/>
        </w:rPr>
        <w:t xml:space="preserve"> : </w:t>
      </w:r>
      <w:r w:rsidR="009F0863">
        <w:rPr>
          <w:b/>
        </w:rPr>
        <w:t>q</w:t>
      </w:r>
      <w:r w:rsidR="0079485D">
        <w:rPr>
          <w:b/>
        </w:rPr>
        <w:t>uatre (4) réunions de r</w:t>
      </w:r>
      <w:r w:rsidR="0096115F" w:rsidRPr="00471AD9">
        <w:rPr>
          <w:b/>
        </w:rPr>
        <w:t xml:space="preserve">estitution </w:t>
      </w:r>
      <w:r w:rsidR="00935DC3">
        <w:rPr>
          <w:b/>
        </w:rPr>
        <w:t>orale</w:t>
      </w:r>
      <w:r w:rsidR="00876A78">
        <w:rPr>
          <w:b/>
        </w:rPr>
        <w:t xml:space="preserve"> </w:t>
      </w:r>
      <w:r w:rsidR="0096115F" w:rsidRPr="00471AD9">
        <w:rPr>
          <w:b/>
        </w:rPr>
        <w:t>de notes de recherche</w:t>
      </w:r>
    </w:p>
    <w:p w14:paraId="6D3D860E" w14:textId="77777777" w:rsidR="0096115F" w:rsidRPr="0048389F" w:rsidRDefault="0096115F" w:rsidP="0096115F">
      <w:pPr>
        <w:rPr>
          <w:rFonts w:eastAsia="Times New Roman"/>
        </w:rPr>
      </w:pPr>
    </w:p>
    <w:p w14:paraId="6C4CA8B7" w14:textId="46A26492" w:rsidR="0096115F" w:rsidRPr="0048389F" w:rsidRDefault="0096115F" w:rsidP="0096115F">
      <w:pPr>
        <w:rPr>
          <w:rFonts w:eastAsia="Times New Roman"/>
        </w:rPr>
      </w:pPr>
      <w:r w:rsidRPr="0048389F">
        <w:rPr>
          <w:rFonts w:eastAsia="Times New Roman"/>
        </w:rPr>
        <w:t xml:space="preserve">Chaque note de recherche donne lieu à une réunion de restitution </w:t>
      </w:r>
      <w:r w:rsidR="00876A78">
        <w:rPr>
          <w:rFonts w:eastAsia="Times New Roman"/>
        </w:rPr>
        <w:t xml:space="preserve">orale </w:t>
      </w:r>
      <w:r w:rsidRPr="0048389F">
        <w:rPr>
          <w:rFonts w:eastAsia="Times New Roman"/>
        </w:rPr>
        <w:t>da</w:t>
      </w:r>
      <w:r w:rsidR="002B6B99">
        <w:rPr>
          <w:rFonts w:eastAsia="Times New Roman"/>
        </w:rPr>
        <w:t>ns le mois suivant la réception par les pilotes de l’observatoire</w:t>
      </w:r>
      <w:r w:rsidRPr="0048389F">
        <w:rPr>
          <w:rFonts w:eastAsia="Times New Roman"/>
        </w:rPr>
        <w:t xml:space="preserve"> d’une durée maximale de deux heures, organisée en format restreint </w:t>
      </w:r>
      <w:r w:rsidR="00775803">
        <w:rPr>
          <w:rFonts w:eastAsia="Times New Roman"/>
        </w:rPr>
        <w:t xml:space="preserve">par les pilotes de l’observatoire </w:t>
      </w:r>
      <w:r w:rsidRPr="0048389F">
        <w:rPr>
          <w:rFonts w:eastAsia="Times New Roman"/>
        </w:rPr>
        <w:t xml:space="preserve">(l’équipe </w:t>
      </w:r>
      <w:r w:rsidR="00775803">
        <w:rPr>
          <w:rFonts w:eastAsia="Times New Roman"/>
        </w:rPr>
        <w:t>du titulaire</w:t>
      </w:r>
      <w:r w:rsidRPr="0048389F">
        <w:rPr>
          <w:rFonts w:eastAsia="Times New Roman"/>
        </w:rPr>
        <w:t xml:space="preserve">, les auteurs de la note </w:t>
      </w:r>
      <w:r w:rsidR="00775803">
        <w:rPr>
          <w:rFonts w:eastAsia="Times New Roman"/>
        </w:rPr>
        <w:t xml:space="preserve">de recherche </w:t>
      </w:r>
      <w:r w:rsidRPr="0048389F">
        <w:rPr>
          <w:rFonts w:eastAsia="Times New Roman"/>
        </w:rPr>
        <w:t>et les pilotes</w:t>
      </w:r>
      <w:r w:rsidR="00775803">
        <w:rPr>
          <w:rFonts w:eastAsia="Times New Roman"/>
        </w:rPr>
        <w:t xml:space="preserve"> de l’observatoire</w:t>
      </w:r>
      <w:r w:rsidRPr="0048389F">
        <w:rPr>
          <w:rFonts w:eastAsia="Times New Roman"/>
        </w:rPr>
        <w:t>).</w:t>
      </w:r>
      <w:r w:rsidR="0079485D">
        <w:rPr>
          <w:rFonts w:eastAsia="Times New Roman"/>
        </w:rPr>
        <w:t xml:space="preserve"> L’objet de ces réunions est de restituer devant les participants la note de recherche en présence des auteurs.</w:t>
      </w:r>
    </w:p>
    <w:p w14:paraId="53F16865" w14:textId="77777777" w:rsidR="0096115F" w:rsidRPr="0048389F" w:rsidRDefault="0096115F" w:rsidP="0096115F">
      <w:pPr>
        <w:rPr>
          <w:rFonts w:eastAsia="Times New Roman"/>
        </w:rPr>
      </w:pPr>
    </w:p>
    <w:p w14:paraId="216D4432" w14:textId="2B688591" w:rsidR="00A57008" w:rsidRDefault="00775803" w:rsidP="0096115F">
      <w:pPr>
        <w:rPr>
          <w:rFonts w:eastAsia="Times New Roman"/>
        </w:rPr>
      </w:pPr>
      <w:r>
        <w:rPr>
          <w:rFonts w:eastAsia="Times New Roman"/>
        </w:rPr>
        <w:t>L</w:t>
      </w:r>
      <w:r w:rsidR="0096115F" w:rsidRPr="0048389F">
        <w:rPr>
          <w:rFonts w:eastAsia="Times New Roman"/>
        </w:rPr>
        <w:t xml:space="preserve">es réunions </w:t>
      </w:r>
      <w:r>
        <w:rPr>
          <w:rFonts w:eastAsia="Times New Roman"/>
        </w:rPr>
        <w:t xml:space="preserve">de restitutions orales </w:t>
      </w:r>
      <w:r w:rsidR="0096115F" w:rsidRPr="0048389F">
        <w:rPr>
          <w:rFonts w:eastAsia="Times New Roman"/>
        </w:rPr>
        <w:t>se tiennent en présentiel au MINARM, avec la possibilité d’une participation à distance en format hybride. Les pilotes invite</w:t>
      </w:r>
      <w:r w:rsidR="007250D2">
        <w:rPr>
          <w:rFonts w:eastAsia="Times New Roman"/>
        </w:rPr>
        <w:t>nt</w:t>
      </w:r>
      <w:r w:rsidR="0096115F" w:rsidRPr="0048389F">
        <w:rPr>
          <w:rFonts w:eastAsia="Times New Roman"/>
        </w:rPr>
        <w:t xml:space="preserve"> les personnes idoines, internes ou externes</w:t>
      </w:r>
      <w:r w:rsidR="0096115F">
        <w:rPr>
          <w:rFonts w:eastAsia="Times New Roman"/>
        </w:rPr>
        <w:t xml:space="preserve"> (</w:t>
      </w:r>
      <w:r w:rsidR="0096115F" w:rsidRPr="0048389F">
        <w:rPr>
          <w:rFonts w:eastAsia="Times New Roman"/>
        </w:rPr>
        <w:t>frais</w:t>
      </w:r>
      <w:r w:rsidR="0096115F">
        <w:rPr>
          <w:rFonts w:eastAsia="Times New Roman"/>
        </w:rPr>
        <w:t xml:space="preserve"> de déplacement à la charge des invités</w:t>
      </w:r>
      <w:r w:rsidR="0096115F" w:rsidRPr="0048389F">
        <w:rPr>
          <w:rFonts w:eastAsia="Times New Roman"/>
        </w:rPr>
        <w:t>), dans la limite de 15 participants.</w:t>
      </w:r>
    </w:p>
    <w:p w14:paraId="31AF86BF" w14:textId="77777777" w:rsidR="00A57008" w:rsidRDefault="00A57008" w:rsidP="0096115F">
      <w:pPr>
        <w:rPr>
          <w:rFonts w:eastAsia="Times New Roman"/>
        </w:rPr>
      </w:pPr>
    </w:p>
    <w:p w14:paraId="6F3EC487" w14:textId="1109C03A" w:rsidR="0096115F" w:rsidRPr="0048389F" w:rsidRDefault="0096115F" w:rsidP="0096115F">
      <w:pPr>
        <w:rPr>
          <w:rFonts w:eastAsia="Times New Roman"/>
        </w:rPr>
      </w:pPr>
      <w:r w:rsidRPr="0048389F">
        <w:rPr>
          <w:rFonts w:eastAsia="Times New Roman"/>
        </w:rPr>
        <w:t xml:space="preserve">Ces séances se déroulent selon la règle du </w:t>
      </w:r>
      <w:r w:rsidRPr="0048389F">
        <w:rPr>
          <w:rFonts w:eastAsia="Calibri"/>
          <w:bCs/>
          <w:lang w:eastAsia="en-US"/>
        </w:rPr>
        <w:t xml:space="preserve">Chatham </w:t>
      </w:r>
      <w:r w:rsidR="00775803">
        <w:rPr>
          <w:rFonts w:eastAsia="Calibri"/>
          <w:bCs/>
          <w:lang w:eastAsia="en-US"/>
        </w:rPr>
        <w:t>H</w:t>
      </w:r>
      <w:r w:rsidRPr="0048389F">
        <w:rPr>
          <w:rFonts w:eastAsia="Calibri"/>
          <w:bCs/>
          <w:lang w:eastAsia="en-US"/>
        </w:rPr>
        <w:t xml:space="preserve">ouse (discussion à huis clos permettant d’évoquer librement un sujet sans que leurs propos ne puissent être attribués), sans </w:t>
      </w:r>
      <w:r w:rsidRPr="0048389F">
        <w:rPr>
          <w:rFonts w:eastAsia="Times New Roman"/>
        </w:rPr>
        <w:t>compte rendu formel.</w:t>
      </w:r>
    </w:p>
    <w:p w14:paraId="56066714" w14:textId="77777777" w:rsidR="0096115F" w:rsidRPr="007250D2" w:rsidRDefault="0096115F" w:rsidP="0096115F">
      <w:pPr>
        <w:spacing w:before="60" w:after="60"/>
        <w:rPr>
          <w:bCs/>
          <w:szCs w:val="24"/>
        </w:rPr>
      </w:pPr>
    </w:p>
    <w:p w14:paraId="4EAD43CE" w14:textId="3E2021C6" w:rsidR="0096115F" w:rsidRPr="007250D2" w:rsidRDefault="007250D2" w:rsidP="007250D2">
      <w:pPr>
        <w:ind w:left="357"/>
        <w:rPr>
          <w:b/>
        </w:rPr>
      </w:pPr>
      <w:r>
        <w:rPr>
          <w:b/>
        </w:rPr>
        <w:t xml:space="preserve">4.3 </w:t>
      </w:r>
      <w:r w:rsidR="0096115F" w:rsidRPr="007250D2">
        <w:rPr>
          <w:b/>
        </w:rPr>
        <w:t xml:space="preserve">Poste à bon de commande </w:t>
      </w:r>
      <w:r>
        <w:rPr>
          <w:b/>
        </w:rPr>
        <w:t xml:space="preserve">/ Unité d’œuvre </w:t>
      </w:r>
      <w:r w:rsidR="0096115F" w:rsidRPr="007250D2">
        <w:rPr>
          <w:b/>
        </w:rPr>
        <w:t>n°1</w:t>
      </w:r>
      <w:r w:rsidR="003C0C73">
        <w:rPr>
          <w:b/>
        </w:rPr>
        <w:t xml:space="preserve"> (UO1)</w:t>
      </w:r>
      <w:r w:rsidR="0096115F" w:rsidRPr="007250D2">
        <w:rPr>
          <w:b/>
        </w:rPr>
        <w:t xml:space="preserve"> : </w:t>
      </w:r>
      <w:r>
        <w:rPr>
          <w:b/>
        </w:rPr>
        <w:t xml:space="preserve">un (1) café-débat </w:t>
      </w:r>
      <w:r w:rsidR="004730B4">
        <w:rPr>
          <w:b/>
        </w:rPr>
        <w:t>et</w:t>
      </w:r>
      <w:r>
        <w:rPr>
          <w:b/>
        </w:rPr>
        <w:t xml:space="preserve"> un (1) compte-rendu</w:t>
      </w:r>
    </w:p>
    <w:p w14:paraId="680F11FF" w14:textId="77777777" w:rsidR="0096115F" w:rsidRPr="00AE546D" w:rsidRDefault="0096115F" w:rsidP="0096115F">
      <w:pPr>
        <w:rPr>
          <w:bCs/>
        </w:rPr>
      </w:pPr>
    </w:p>
    <w:p w14:paraId="336F2EDD" w14:textId="1AC704EC" w:rsidR="007250D2" w:rsidRDefault="007250D2" w:rsidP="0096115F">
      <w:pPr>
        <w:rPr>
          <w:rFonts w:eastAsia="Times New Roman"/>
        </w:rPr>
      </w:pPr>
      <w:r>
        <w:rPr>
          <w:rFonts w:eastAsia="Times New Roman"/>
        </w:rPr>
        <w:t>Un</w:t>
      </w:r>
      <w:r w:rsidRPr="00A30F63">
        <w:rPr>
          <w:rFonts w:eastAsia="Times New Roman"/>
        </w:rPr>
        <w:t xml:space="preserve"> </w:t>
      </w:r>
      <w:r w:rsidR="0096115F" w:rsidRPr="00A51C43">
        <w:rPr>
          <w:rFonts w:eastAsia="Times New Roman"/>
          <w:b/>
        </w:rPr>
        <w:t>café-débat</w:t>
      </w:r>
      <w:r w:rsidR="00A224A3">
        <w:rPr>
          <w:rStyle w:val="Marquedecommentaire"/>
          <w:rFonts w:ascii="Times New Roman" w:eastAsia="Times New Roman" w:hAnsi="Times New Roman"/>
        </w:rPr>
        <w:t xml:space="preserve"> </w:t>
      </w:r>
      <w:r w:rsidR="00D82443">
        <w:rPr>
          <w:rFonts w:eastAsia="Times New Roman"/>
        </w:rPr>
        <w:t xml:space="preserve">est </w:t>
      </w:r>
      <w:r w:rsidR="0096115F" w:rsidRPr="00A30F63">
        <w:rPr>
          <w:rFonts w:eastAsia="Times New Roman"/>
        </w:rPr>
        <w:t xml:space="preserve">organisé par le </w:t>
      </w:r>
      <w:r>
        <w:rPr>
          <w:rFonts w:eastAsia="Times New Roman"/>
        </w:rPr>
        <w:t>titulaire</w:t>
      </w:r>
      <w:r w:rsidRPr="00A30F63">
        <w:rPr>
          <w:rFonts w:eastAsia="Times New Roman"/>
        </w:rPr>
        <w:t xml:space="preserve"> </w:t>
      </w:r>
      <w:r w:rsidR="0096115F" w:rsidRPr="00A30F63">
        <w:rPr>
          <w:rFonts w:eastAsia="Times New Roman"/>
        </w:rPr>
        <w:t xml:space="preserve">afin de favoriser les échanges entre le personnel du MINARM et des chercheurs présélectionnés conjointement par le </w:t>
      </w:r>
      <w:r>
        <w:rPr>
          <w:rFonts w:eastAsia="Times New Roman"/>
        </w:rPr>
        <w:t>titulaire</w:t>
      </w:r>
      <w:r w:rsidRPr="00A30F63">
        <w:rPr>
          <w:rFonts w:eastAsia="Times New Roman"/>
        </w:rPr>
        <w:t xml:space="preserve"> </w:t>
      </w:r>
      <w:r w:rsidR="0096115F" w:rsidRPr="00A30F63">
        <w:rPr>
          <w:rFonts w:eastAsia="Times New Roman"/>
        </w:rPr>
        <w:t>et les pilotes, autour de thématiques définies par les pilotes de l’observatoire a</w:t>
      </w:r>
      <w:r w:rsidR="00A224A3">
        <w:rPr>
          <w:rFonts w:eastAsia="Times New Roman"/>
        </w:rPr>
        <w:t>u moment de la réunion du lancement.</w:t>
      </w:r>
      <w:r w:rsidR="0096115F" w:rsidRPr="00A30F63">
        <w:rPr>
          <w:rFonts w:eastAsia="Times New Roman"/>
        </w:rPr>
        <w:t xml:space="preserve"> </w:t>
      </w:r>
    </w:p>
    <w:p w14:paraId="7EFA8191" w14:textId="77777777" w:rsidR="007250D2" w:rsidRDefault="007250D2" w:rsidP="0096115F">
      <w:pPr>
        <w:rPr>
          <w:rFonts w:eastAsia="Times New Roman"/>
        </w:rPr>
      </w:pPr>
    </w:p>
    <w:p w14:paraId="25324D83" w14:textId="40023159" w:rsidR="0096115F" w:rsidRPr="00A30F63" w:rsidRDefault="0096115F" w:rsidP="0096115F">
      <w:pPr>
        <w:rPr>
          <w:rFonts w:eastAsia="Times New Roman"/>
        </w:rPr>
      </w:pPr>
      <w:r w:rsidRPr="00A30F63">
        <w:rPr>
          <w:rFonts w:eastAsia="Times New Roman"/>
        </w:rPr>
        <w:t xml:space="preserve">Les frais de bouche sont assumés par le </w:t>
      </w:r>
      <w:r w:rsidR="007250D2">
        <w:rPr>
          <w:rFonts w:eastAsia="Times New Roman"/>
        </w:rPr>
        <w:t>titulaire</w:t>
      </w:r>
      <w:r w:rsidRPr="00A30F63">
        <w:rPr>
          <w:rFonts w:eastAsia="Times New Roman"/>
        </w:rPr>
        <w:t>, sous la forme</w:t>
      </w:r>
      <w:r>
        <w:rPr>
          <w:rFonts w:eastAsia="Times New Roman"/>
        </w:rPr>
        <w:t xml:space="preserve"> de</w:t>
      </w:r>
      <w:r w:rsidRPr="00A30F63">
        <w:rPr>
          <w:rFonts w:eastAsia="Times New Roman"/>
        </w:rPr>
        <w:t xml:space="preserve"> </w:t>
      </w:r>
      <w:r w:rsidRPr="00A30F63">
        <w:t xml:space="preserve">petit déjeuner comprenant </w:t>
      </w:r>
      <w:r w:rsidR="00A86F9B">
        <w:t>cafés, thé</w:t>
      </w:r>
      <w:r w:rsidRPr="00A30F63">
        <w:t>,</w:t>
      </w:r>
      <w:r w:rsidR="00A86F9B">
        <w:t xml:space="preserve"> jus d’orange et viennoiseries.</w:t>
      </w:r>
    </w:p>
    <w:p w14:paraId="6157246A" w14:textId="77777777" w:rsidR="007250D2" w:rsidRDefault="007250D2" w:rsidP="0096115F">
      <w:pPr>
        <w:rPr>
          <w:rFonts w:eastAsia="Times New Roman"/>
        </w:rPr>
      </w:pPr>
    </w:p>
    <w:p w14:paraId="15D46752" w14:textId="220707FC" w:rsidR="0096115F" w:rsidRDefault="0096115F" w:rsidP="0096115F">
      <w:pPr>
        <w:rPr>
          <w:rFonts w:eastAsia="Times New Roman"/>
        </w:rPr>
      </w:pPr>
      <w:r w:rsidRPr="00A30F63">
        <w:rPr>
          <w:rFonts w:eastAsia="Times New Roman"/>
        </w:rPr>
        <w:t>Ce</w:t>
      </w:r>
      <w:r w:rsidR="004C41D5">
        <w:rPr>
          <w:rFonts w:eastAsia="Times New Roman"/>
        </w:rPr>
        <w:t>tte</w:t>
      </w:r>
      <w:r w:rsidRPr="00A30F63">
        <w:rPr>
          <w:rFonts w:eastAsia="Times New Roman"/>
        </w:rPr>
        <w:t xml:space="preserve"> rencontre se tient en présentiel d</w:t>
      </w:r>
      <w:r w:rsidR="00201599">
        <w:rPr>
          <w:rFonts w:eastAsia="Times New Roman"/>
        </w:rPr>
        <w:t>ans un lieu confortable et sécurisé, choisi</w:t>
      </w:r>
      <w:r w:rsidRPr="00A30F63">
        <w:rPr>
          <w:rFonts w:eastAsia="Times New Roman"/>
        </w:rPr>
        <w:t xml:space="preserve"> par le </w:t>
      </w:r>
      <w:r w:rsidR="00876A78">
        <w:rPr>
          <w:rFonts w:eastAsia="Times New Roman"/>
        </w:rPr>
        <w:t>titulaire</w:t>
      </w:r>
      <w:r>
        <w:rPr>
          <w:rFonts w:eastAsia="Times New Roman"/>
        </w:rPr>
        <w:t xml:space="preserve"> </w:t>
      </w:r>
      <w:r w:rsidR="00EB1B2C">
        <w:rPr>
          <w:rFonts w:eastAsia="Times New Roman"/>
        </w:rPr>
        <w:t xml:space="preserve">(de préférence dans les locaux de ce dernier si </w:t>
      </w:r>
      <w:r>
        <w:rPr>
          <w:rFonts w:eastAsia="Times New Roman"/>
        </w:rPr>
        <w:t>cela est possible)</w:t>
      </w:r>
      <w:r w:rsidRPr="00A30F63">
        <w:rPr>
          <w:rFonts w:eastAsia="Times New Roman"/>
        </w:rPr>
        <w:t>, avec une possibilité de format hybride (présentiel/</w:t>
      </w:r>
      <w:proofErr w:type="spellStart"/>
      <w:r w:rsidRPr="00A30F63">
        <w:rPr>
          <w:rFonts w:eastAsia="Times New Roman"/>
        </w:rPr>
        <w:t>distan</w:t>
      </w:r>
      <w:r w:rsidR="0097254C">
        <w:rPr>
          <w:rFonts w:eastAsia="Times New Roman"/>
        </w:rPr>
        <w:t>c</w:t>
      </w:r>
      <w:r w:rsidRPr="00A30F63">
        <w:rPr>
          <w:rFonts w:eastAsia="Times New Roman"/>
        </w:rPr>
        <w:t>iel</w:t>
      </w:r>
      <w:proofErr w:type="spellEnd"/>
      <w:r w:rsidRPr="00A30F63">
        <w:rPr>
          <w:rFonts w:eastAsia="Times New Roman"/>
        </w:rPr>
        <w:t xml:space="preserve">). </w:t>
      </w:r>
    </w:p>
    <w:p w14:paraId="05C22A50" w14:textId="77777777" w:rsidR="00876A78" w:rsidRDefault="00876A78" w:rsidP="00876A78">
      <w:pPr>
        <w:rPr>
          <w:rFonts w:eastAsia="Times New Roman"/>
        </w:rPr>
      </w:pPr>
    </w:p>
    <w:p w14:paraId="3BF964BF" w14:textId="02CA1EF3" w:rsidR="00876A78" w:rsidRDefault="0096115F" w:rsidP="00876A78">
      <w:pPr>
        <w:rPr>
          <w:rFonts w:eastAsia="Times New Roman"/>
        </w:rPr>
      </w:pPr>
      <w:r>
        <w:rPr>
          <w:rFonts w:eastAsia="Times New Roman"/>
        </w:rPr>
        <w:t>Ce</w:t>
      </w:r>
      <w:r w:rsidR="004C41D5">
        <w:rPr>
          <w:rFonts w:eastAsia="Times New Roman"/>
        </w:rPr>
        <w:t>t</w:t>
      </w:r>
      <w:r>
        <w:rPr>
          <w:rFonts w:eastAsia="Times New Roman"/>
        </w:rPr>
        <w:t xml:space="preserve"> évènement se tient autour d’agents du MINARM et d’externes (15 au total, dont un maximum de 5 invités externes </w:t>
      </w:r>
      <w:r w:rsidRPr="00A30F63">
        <w:rPr>
          <w:rFonts w:eastAsia="Times New Roman"/>
        </w:rPr>
        <w:t>nécessitant des frais</w:t>
      </w:r>
      <w:r>
        <w:rPr>
          <w:rFonts w:eastAsia="Times New Roman"/>
        </w:rPr>
        <w:t xml:space="preserve"> pour le </w:t>
      </w:r>
      <w:r w:rsidR="00876A78">
        <w:rPr>
          <w:rFonts w:eastAsia="Times New Roman"/>
        </w:rPr>
        <w:t>titulaire</w:t>
      </w:r>
      <w:r w:rsidRPr="00A30F63">
        <w:rPr>
          <w:rFonts w:eastAsia="Times New Roman"/>
        </w:rPr>
        <w:t xml:space="preserve">). </w:t>
      </w:r>
      <w:r w:rsidR="00876A78" w:rsidRPr="00A30F63">
        <w:rPr>
          <w:rFonts w:eastAsia="Times New Roman"/>
        </w:rPr>
        <w:t xml:space="preserve">Les frais de déplacement et d’hébergement des invités externes sont assumés par le </w:t>
      </w:r>
      <w:r w:rsidR="00876A78">
        <w:rPr>
          <w:rFonts w:eastAsia="Times New Roman"/>
        </w:rPr>
        <w:t>titulaire</w:t>
      </w:r>
      <w:r w:rsidR="00DF638B">
        <w:rPr>
          <w:rFonts w:eastAsia="Times New Roman"/>
        </w:rPr>
        <w:t>.</w:t>
      </w:r>
    </w:p>
    <w:p w14:paraId="011E2216" w14:textId="02E5A7CD" w:rsidR="00E97892" w:rsidRDefault="00E97892" w:rsidP="00876A78">
      <w:pPr>
        <w:rPr>
          <w:rFonts w:eastAsia="Times New Roman"/>
        </w:rPr>
      </w:pPr>
    </w:p>
    <w:p w14:paraId="21931CAB" w14:textId="4C9D581D" w:rsidR="00E97892" w:rsidRPr="00686B3F" w:rsidRDefault="00E97892" w:rsidP="00E97892">
      <w:pPr>
        <w:tabs>
          <w:tab w:val="center" w:pos="4536"/>
          <w:tab w:val="left" w:pos="6495"/>
        </w:tabs>
      </w:pPr>
      <w:r w:rsidRPr="00686B3F">
        <w:t xml:space="preserve">Le niveau attendu des prestations </w:t>
      </w:r>
      <w:r>
        <w:t xml:space="preserve">de déplacement et d’hébergement </w:t>
      </w:r>
      <w:r w:rsidRPr="00686B3F">
        <w:t xml:space="preserve">est fixé comme suit : </w:t>
      </w:r>
    </w:p>
    <w:p w14:paraId="23BF9135" w14:textId="77777777" w:rsidR="00E97892" w:rsidRPr="001D7C42" w:rsidRDefault="00E97892" w:rsidP="00E97892">
      <w:pPr>
        <w:pStyle w:val="Paragraphedeliste"/>
        <w:numPr>
          <w:ilvl w:val="0"/>
          <w:numId w:val="40"/>
        </w:numPr>
        <w:pBdr>
          <w:top w:val="nil"/>
          <w:left w:val="nil"/>
          <w:bottom w:val="nil"/>
          <w:right w:val="nil"/>
          <w:between w:val="nil"/>
          <w:bar w:val="nil"/>
        </w:pBdr>
        <w:tabs>
          <w:tab w:val="center" w:pos="4536"/>
          <w:tab w:val="left" w:pos="6495"/>
        </w:tabs>
        <w:spacing w:before="0" w:line="240" w:lineRule="auto"/>
        <w:contextualSpacing w:val="0"/>
        <w:rPr>
          <w:rFonts w:eastAsia="Times"/>
        </w:rPr>
      </w:pPr>
      <w:r w:rsidRPr="00686B3F">
        <w:rPr>
          <w:rFonts w:eastAsia="Times"/>
        </w:rPr>
        <w:t>Pour l’hôtellerie : hôtel 3 étoiles maximum </w:t>
      </w:r>
      <w:r w:rsidRPr="001D7C42">
        <w:rPr>
          <w:rFonts w:eastAsia="Times"/>
        </w:rPr>
        <w:t>(une nuitée maximum)</w:t>
      </w:r>
      <w:r>
        <w:rPr>
          <w:rFonts w:eastAsia="Times"/>
        </w:rPr>
        <w:t> ;</w:t>
      </w:r>
    </w:p>
    <w:p w14:paraId="073263DE" w14:textId="77777777" w:rsidR="00E97892" w:rsidRPr="00686B3F" w:rsidRDefault="00E97892" w:rsidP="00E97892">
      <w:pPr>
        <w:pStyle w:val="Paragraphedeliste"/>
        <w:numPr>
          <w:ilvl w:val="0"/>
          <w:numId w:val="40"/>
        </w:numPr>
        <w:pBdr>
          <w:top w:val="nil"/>
          <w:left w:val="nil"/>
          <w:bottom w:val="nil"/>
          <w:right w:val="nil"/>
          <w:between w:val="nil"/>
          <w:bar w:val="nil"/>
        </w:pBdr>
        <w:tabs>
          <w:tab w:val="center" w:pos="4536"/>
          <w:tab w:val="left" w:pos="6495"/>
        </w:tabs>
        <w:spacing w:before="0" w:line="240" w:lineRule="auto"/>
        <w:contextualSpacing w:val="0"/>
        <w:rPr>
          <w:rFonts w:eastAsia="Times"/>
        </w:rPr>
      </w:pPr>
      <w:r w:rsidRPr="00686B3F">
        <w:rPr>
          <w:rFonts w:eastAsia="Times"/>
        </w:rPr>
        <w:t xml:space="preserve">Pour les billets d’avion intra européens : classe </w:t>
      </w:r>
      <w:r>
        <w:rPr>
          <w:rFonts w:eastAsia="Times"/>
        </w:rPr>
        <w:t>économique</w:t>
      </w:r>
      <w:r w:rsidRPr="00686B3F">
        <w:rPr>
          <w:rFonts w:eastAsia="Times"/>
        </w:rPr>
        <w:t> ;</w:t>
      </w:r>
    </w:p>
    <w:p w14:paraId="332DE54F" w14:textId="77777777" w:rsidR="00E97892" w:rsidRPr="00686B3F" w:rsidRDefault="00E97892" w:rsidP="00E97892">
      <w:pPr>
        <w:pStyle w:val="Paragraphedeliste"/>
        <w:numPr>
          <w:ilvl w:val="0"/>
          <w:numId w:val="40"/>
        </w:numPr>
        <w:pBdr>
          <w:top w:val="nil"/>
          <w:left w:val="nil"/>
          <w:bottom w:val="nil"/>
          <w:right w:val="nil"/>
          <w:between w:val="nil"/>
          <w:bar w:val="nil"/>
        </w:pBdr>
        <w:tabs>
          <w:tab w:val="center" w:pos="4536"/>
          <w:tab w:val="left" w:pos="6495"/>
        </w:tabs>
        <w:spacing w:before="0" w:line="240" w:lineRule="auto"/>
        <w:contextualSpacing w:val="0"/>
        <w:rPr>
          <w:rFonts w:eastAsia="Times"/>
        </w:rPr>
      </w:pPr>
      <w:r w:rsidRPr="00686B3F">
        <w:rPr>
          <w:rFonts w:eastAsia="Times"/>
        </w:rPr>
        <w:t>Pour les billets d’avion inter continentaux : classe économique ;</w:t>
      </w:r>
    </w:p>
    <w:p w14:paraId="02C2E13E" w14:textId="3B621A9F" w:rsidR="00E97892" w:rsidRPr="00686B3F" w:rsidRDefault="00E97892" w:rsidP="00E97892">
      <w:pPr>
        <w:pStyle w:val="Paragraphedeliste"/>
        <w:numPr>
          <w:ilvl w:val="0"/>
          <w:numId w:val="40"/>
        </w:numPr>
        <w:pBdr>
          <w:top w:val="nil"/>
          <w:left w:val="nil"/>
          <w:bottom w:val="nil"/>
          <w:right w:val="nil"/>
          <w:between w:val="nil"/>
          <w:bar w:val="nil"/>
        </w:pBdr>
        <w:tabs>
          <w:tab w:val="center" w:pos="4536"/>
          <w:tab w:val="left" w:pos="6495"/>
        </w:tabs>
        <w:spacing w:before="0" w:line="240" w:lineRule="auto"/>
        <w:contextualSpacing w:val="0"/>
        <w:rPr>
          <w:rFonts w:eastAsia="Times"/>
        </w:rPr>
      </w:pPr>
      <w:r w:rsidRPr="00686B3F">
        <w:rPr>
          <w:rFonts w:eastAsia="Times"/>
        </w:rPr>
        <w:t>Pour les billets de trains :</w:t>
      </w:r>
      <w:r w:rsidR="000E4861">
        <w:rPr>
          <w:rFonts w:eastAsia="Times"/>
          <w:vertAlign w:val="superscript"/>
        </w:rPr>
        <w:t xml:space="preserve"> </w:t>
      </w:r>
      <w:r w:rsidR="000E4861">
        <w:rPr>
          <w:rFonts w:eastAsia="Times"/>
        </w:rPr>
        <w:t>2</w:t>
      </w:r>
      <w:r w:rsidR="000E4861" w:rsidRPr="008C3033">
        <w:rPr>
          <w:rFonts w:eastAsia="Times"/>
          <w:vertAlign w:val="superscript"/>
        </w:rPr>
        <w:t>ème</w:t>
      </w:r>
      <w:r w:rsidRPr="00686B3F">
        <w:rPr>
          <w:rFonts w:eastAsia="Times"/>
        </w:rPr>
        <w:t xml:space="preserve"> classe.</w:t>
      </w:r>
    </w:p>
    <w:p w14:paraId="1486A6FF" w14:textId="79402C9D" w:rsidR="004C41D5" w:rsidRDefault="0096115F" w:rsidP="00D904AA">
      <w:pPr>
        <w:spacing w:before="120"/>
        <w:rPr>
          <w:rFonts w:eastAsia="Times New Roman"/>
        </w:rPr>
      </w:pPr>
      <w:r w:rsidRPr="00A30F63">
        <w:rPr>
          <w:rFonts w:eastAsia="Times New Roman"/>
        </w:rPr>
        <w:t>Ce</w:t>
      </w:r>
      <w:r w:rsidR="004C41D5">
        <w:rPr>
          <w:rFonts w:eastAsia="Times New Roman"/>
        </w:rPr>
        <w:t>t</w:t>
      </w:r>
      <w:r w:rsidRPr="00A30F63">
        <w:rPr>
          <w:rFonts w:eastAsia="Times New Roman"/>
        </w:rPr>
        <w:t xml:space="preserve"> échange se déroule sous la règle du Chatham House (voir définition </w:t>
      </w:r>
      <w:r w:rsidRPr="00A30F63">
        <w:rPr>
          <w:rFonts w:eastAsia="Times New Roman"/>
          <w:i/>
        </w:rPr>
        <w:t>supra</w:t>
      </w:r>
      <w:r w:rsidRPr="00A30F63">
        <w:rPr>
          <w:rFonts w:eastAsia="Times New Roman"/>
        </w:rPr>
        <w:t>)</w:t>
      </w:r>
      <w:r w:rsidR="004C41D5">
        <w:rPr>
          <w:rFonts w:eastAsia="Times New Roman"/>
        </w:rPr>
        <w:t>.</w:t>
      </w:r>
    </w:p>
    <w:p w14:paraId="108C6845" w14:textId="3170914C" w:rsidR="0096115F" w:rsidRDefault="004C41D5" w:rsidP="00D904AA">
      <w:pPr>
        <w:spacing w:before="120"/>
        <w:rPr>
          <w:rFonts w:eastAsia="Times New Roman"/>
        </w:rPr>
      </w:pPr>
      <w:r>
        <w:rPr>
          <w:rFonts w:eastAsia="Times New Roman"/>
        </w:rPr>
        <w:t>Cet évènement</w:t>
      </w:r>
      <w:r w:rsidR="0096115F">
        <w:rPr>
          <w:rFonts w:eastAsia="Times New Roman"/>
        </w:rPr>
        <w:t xml:space="preserve"> </w:t>
      </w:r>
      <w:r w:rsidR="0096115F" w:rsidRPr="00A30F63">
        <w:rPr>
          <w:rFonts w:eastAsia="Times New Roman"/>
        </w:rPr>
        <w:t>f</w:t>
      </w:r>
      <w:r>
        <w:rPr>
          <w:rFonts w:eastAsia="Times New Roman"/>
        </w:rPr>
        <w:t>ai</w:t>
      </w:r>
      <w:r w:rsidR="0096115F">
        <w:rPr>
          <w:rFonts w:eastAsia="Times New Roman"/>
        </w:rPr>
        <w:t xml:space="preserve">t </w:t>
      </w:r>
      <w:r w:rsidR="0096115F" w:rsidRPr="00A30F63">
        <w:rPr>
          <w:rFonts w:eastAsia="Times New Roman"/>
        </w:rPr>
        <w:t>l’objet d’</w:t>
      </w:r>
      <w:r w:rsidR="0096115F" w:rsidRPr="004C41D5">
        <w:rPr>
          <w:rFonts w:eastAsia="Times New Roman"/>
          <w:b/>
        </w:rPr>
        <w:t xml:space="preserve">un compte rendu </w:t>
      </w:r>
      <w:r w:rsidR="000511A0">
        <w:rPr>
          <w:rFonts w:eastAsia="Times New Roman"/>
        </w:rPr>
        <w:t xml:space="preserve">sous forme de document </w:t>
      </w:r>
      <w:r w:rsidR="00E97892">
        <w:rPr>
          <w:rFonts w:eastAsia="Times New Roman"/>
        </w:rPr>
        <w:t>PDF d</w:t>
      </w:r>
      <w:r w:rsidR="0096115F">
        <w:rPr>
          <w:rFonts w:eastAsia="Times New Roman"/>
        </w:rPr>
        <w:t xml:space="preserve">e 10 pages maximum, qui doit être </w:t>
      </w:r>
      <w:r w:rsidR="00A57008">
        <w:rPr>
          <w:rFonts w:eastAsia="Times New Roman"/>
        </w:rPr>
        <w:t>transmis</w:t>
      </w:r>
      <w:r w:rsidR="000511A0">
        <w:rPr>
          <w:rFonts w:eastAsia="Times New Roman"/>
        </w:rPr>
        <w:t xml:space="preserve"> par courriel</w:t>
      </w:r>
      <w:r w:rsidR="00A57008">
        <w:rPr>
          <w:rFonts w:eastAsia="Times New Roman"/>
        </w:rPr>
        <w:t xml:space="preserve"> aux pilotes </w:t>
      </w:r>
      <w:r w:rsidR="0096115F">
        <w:rPr>
          <w:rFonts w:eastAsia="Times New Roman"/>
        </w:rPr>
        <w:t>15 jours après le</w:t>
      </w:r>
      <w:r>
        <w:rPr>
          <w:rFonts w:eastAsia="Times New Roman"/>
        </w:rPr>
        <w:t xml:space="preserve"> </w:t>
      </w:r>
      <w:r w:rsidR="0096115F" w:rsidRPr="00A30F63">
        <w:rPr>
          <w:rFonts w:eastAsia="Times New Roman"/>
        </w:rPr>
        <w:t>café-débat</w:t>
      </w:r>
      <w:r w:rsidR="0096115F">
        <w:rPr>
          <w:rFonts w:eastAsia="Times New Roman"/>
        </w:rPr>
        <w:t>.</w:t>
      </w:r>
      <w:r w:rsidR="0096115F" w:rsidRPr="00A30F63">
        <w:rPr>
          <w:rFonts w:eastAsia="Times New Roman"/>
        </w:rPr>
        <w:t xml:space="preserve"> </w:t>
      </w:r>
      <w:r w:rsidR="0024038C">
        <w:rPr>
          <w:rFonts w:eastAsia="Times New Roman"/>
        </w:rPr>
        <w:t xml:space="preserve"> </w:t>
      </w:r>
    </w:p>
    <w:p w14:paraId="7588CA5F" w14:textId="10943B63" w:rsidR="0096115F" w:rsidRPr="001C3A9E" w:rsidRDefault="00DF638B" w:rsidP="00D904AA">
      <w:pPr>
        <w:spacing w:before="120" w:after="240"/>
        <w:rPr>
          <w:rFonts w:eastAsia="Times New Roman"/>
        </w:rPr>
      </w:pPr>
      <w:r>
        <w:rPr>
          <w:rFonts w:eastAsia="Times New Roman"/>
        </w:rPr>
        <w:t>L’objectif de ce café</w:t>
      </w:r>
      <w:r w:rsidR="00BF68DC">
        <w:rPr>
          <w:rFonts w:eastAsia="Times New Roman"/>
        </w:rPr>
        <w:t>-débat</w:t>
      </w:r>
      <w:r>
        <w:rPr>
          <w:rFonts w:eastAsia="Times New Roman"/>
        </w:rPr>
        <w:t>, ainsi que d’autres informations complémentaires sur son organisation</w:t>
      </w:r>
      <w:r w:rsidR="0097254C">
        <w:rPr>
          <w:rFonts w:eastAsia="Times New Roman"/>
        </w:rPr>
        <w:t>,</w:t>
      </w:r>
      <w:r>
        <w:rPr>
          <w:rFonts w:eastAsia="Times New Roman"/>
        </w:rPr>
        <w:t xml:space="preserve"> sont </w:t>
      </w:r>
      <w:r w:rsidR="0097254C">
        <w:rPr>
          <w:rFonts w:eastAsia="Times New Roman"/>
        </w:rPr>
        <w:t xml:space="preserve">précisés </w:t>
      </w:r>
      <w:r>
        <w:rPr>
          <w:rFonts w:eastAsia="Times New Roman"/>
        </w:rPr>
        <w:t>lors des réunions</w:t>
      </w:r>
      <w:r w:rsidR="00D82443">
        <w:rPr>
          <w:rFonts w:eastAsia="Times New Roman"/>
        </w:rPr>
        <w:t xml:space="preserve"> d’étapes n°1 et 2</w:t>
      </w:r>
      <w:r>
        <w:rPr>
          <w:rFonts w:eastAsia="Times New Roman"/>
        </w:rPr>
        <w:t xml:space="preserve"> entre le</w:t>
      </w:r>
      <w:r w:rsidR="0097254C">
        <w:rPr>
          <w:rFonts w:eastAsia="Times New Roman"/>
        </w:rPr>
        <w:t>s</w:t>
      </w:r>
      <w:r>
        <w:rPr>
          <w:rFonts w:eastAsia="Times New Roman"/>
        </w:rPr>
        <w:t xml:space="preserve"> pilote</w:t>
      </w:r>
      <w:r w:rsidR="0097254C">
        <w:rPr>
          <w:rFonts w:eastAsia="Times New Roman"/>
        </w:rPr>
        <w:t>s</w:t>
      </w:r>
      <w:r>
        <w:rPr>
          <w:rFonts w:eastAsia="Times New Roman"/>
        </w:rPr>
        <w:t xml:space="preserve"> et le titulaire. </w:t>
      </w:r>
    </w:p>
    <w:p w14:paraId="1BC89E44" w14:textId="66A1B204" w:rsidR="0096115F" w:rsidRPr="005057C3" w:rsidRDefault="00A57008" w:rsidP="00A57008">
      <w:pPr>
        <w:ind w:left="357"/>
        <w:rPr>
          <w:rFonts w:ascii="Calibri" w:eastAsia="Times New Roman" w:hAnsi="Calibri"/>
          <w:b/>
          <w:bCs/>
          <w:sz w:val="28"/>
          <w:szCs w:val="28"/>
          <w:u w:val="single"/>
          <w:lang w:eastAsia="en-US"/>
        </w:rPr>
      </w:pPr>
      <w:r>
        <w:rPr>
          <w:b/>
        </w:rPr>
        <w:t xml:space="preserve">4.4 </w:t>
      </w:r>
      <w:r w:rsidR="0096115F" w:rsidRPr="00A57008">
        <w:rPr>
          <w:b/>
        </w:rPr>
        <w:t xml:space="preserve">Poste de bon de commande </w:t>
      </w:r>
      <w:r>
        <w:rPr>
          <w:b/>
        </w:rPr>
        <w:t>/ Unité d’œuvre n°</w:t>
      </w:r>
      <w:r w:rsidR="0096115F" w:rsidRPr="00A57008">
        <w:rPr>
          <w:b/>
        </w:rPr>
        <w:t>2</w:t>
      </w:r>
      <w:r w:rsidR="003C0C73">
        <w:rPr>
          <w:b/>
        </w:rPr>
        <w:t xml:space="preserve"> (UO2)</w:t>
      </w:r>
      <w:r w:rsidR="0096115F" w:rsidRPr="00A57008">
        <w:rPr>
          <w:b/>
        </w:rPr>
        <w:t xml:space="preserve"> : </w:t>
      </w:r>
      <w:r>
        <w:rPr>
          <w:b/>
        </w:rPr>
        <w:t>un (1) s</w:t>
      </w:r>
      <w:r w:rsidR="0096115F" w:rsidRPr="00A57008">
        <w:rPr>
          <w:b/>
        </w:rPr>
        <w:t xml:space="preserve">éminaire </w:t>
      </w:r>
      <w:r w:rsidR="004730B4">
        <w:rPr>
          <w:b/>
        </w:rPr>
        <w:t>et un (1) compte-rendu</w:t>
      </w:r>
    </w:p>
    <w:p w14:paraId="7968FB8D" w14:textId="4E203AB4" w:rsidR="003C0C73" w:rsidRDefault="0096115F" w:rsidP="00D904AA">
      <w:pPr>
        <w:spacing w:before="120"/>
        <w:rPr>
          <w:rFonts w:eastAsia="Times New Roman"/>
        </w:rPr>
      </w:pPr>
      <w:r w:rsidRPr="00E83959">
        <w:rPr>
          <w:rFonts w:eastAsia="Times New Roman"/>
        </w:rPr>
        <w:t xml:space="preserve">Dans les deux mois suivants la notification du </w:t>
      </w:r>
      <w:r w:rsidR="00903339">
        <w:rPr>
          <w:rFonts w:eastAsia="Times New Roman"/>
        </w:rPr>
        <w:t>bon de commande</w:t>
      </w:r>
      <w:r w:rsidRPr="00E83959">
        <w:rPr>
          <w:rFonts w:eastAsia="Times New Roman"/>
        </w:rPr>
        <w:t xml:space="preserve">, le titulaire organise </w:t>
      </w:r>
      <w:r w:rsidRPr="00903339">
        <w:rPr>
          <w:rFonts w:eastAsia="Times New Roman"/>
          <w:b/>
        </w:rPr>
        <w:t>un séminaire</w:t>
      </w:r>
      <w:r w:rsidRPr="00E83959">
        <w:rPr>
          <w:rFonts w:eastAsia="Times New Roman"/>
        </w:rPr>
        <w:t xml:space="preserve"> d</w:t>
      </w:r>
      <w:r>
        <w:rPr>
          <w:rFonts w:eastAsia="Times New Roman"/>
        </w:rPr>
        <w:t>'une demi-journée, accueillant 5</w:t>
      </w:r>
      <w:r w:rsidRPr="00E83959">
        <w:rPr>
          <w:rFonts w:eastAsia="Times New Roman"/>
        </w:rPr>
        <w:t xml:space="preserve">0 participants maximum en décembre dans les locaux du </w:t>
      </w:r>
      <w:r w:rsidR="003C0C73">
        <w:rPr>
          <w:rFonts w:eastAsia="Times New Roman"/>
        </w:rPr>
        <w:t>titulaire</w:t>
      </w:r>
      <w:r w:rsidR="00903339">
        <w:rPr>
          <w:rFonts w:eastAsia="Times New Roman"/>
        </w:rPr>
        <w:t>.</w:t>
      </w:r>
    </w:p>
    <w:p w14:paraId="1D83A12F" w14:textId="4D8BBF81" w:rsidR="00E45E6B" w:rsidRDefault="00E45E6B" w:rsidP="00D904AA">
      <w:pPr>
        <w:spacing w:before="120"/>
        <w:rPr>
          <w:rFonts w:eastAsia="Times New Roman"/>
        </w:rPr>
      </w:pPr>
      <w:r>
        <w:t>Le titulaire assure les prestations de bouche pour ce séminaire. Elles incluent un petit-déjeuner d'accueil avec café, thé, jus de fruits et viennoiseries, ainsi qu'un buffet de clôture à consommer debout.</w:t>
      </w:r>
    </w:p>
    <w:p w14:paraId="4FF2E778" w14:textId="72BED1CD" w:rsidR="00903339" w:rsidRDefault="0096115F" w:rsidP="00D904AA">
      <w:pPr>
        <w:spacing w:before="120"/>
        <w:rPr>
          <w:rFonts w:eastAsia="Times New Roman"/>
        </w:rPr>
      </w:pPr>
      <w:r w:rsidRPr="00E83959">
        <w:rPr>
          <w:rFonts w:eastAsia="Times New Roman"/>
        </w:rPr>
        <w:t xml:space="preserve">La thématique du séminaire </w:t>
      </w:r>
      <w:r w:rsidR="003C0C73">
        <w:rPr>
          <w:rFonts w:eastAsia="Times New Roman"/>
        </w:rPr>
        <w:t>est</w:t>
      </w:r>
      <w:r w:rsidR="003C0C73" w:rsidRPr="00E83959">
        <w:rPr>
          <w:rFonts w:eastAsia="Times New Roman"/>
        </w:rPr>
        <w:t xml:space="preserve"> </w:t>
      </w:r>
      <w:r w:rsidRPr="00E83959">
        <w:rPr>
          <w:rFonts w:eastAsia="Times New Roman"/>
        </w:rPr>
        <w:t>définie lors d’une réunion d’étape</w:t>
      </w:r>
      <w:r w:rsidR="00586908">
        <w:rPr>
          <w:rFonts w:eastAsia="Times New Roman"/>
        </w:rPr>
        <w:t xml:space="preserve"> n°2</w:t>
      </w:r>
      <w:r w:rsidRPr="00E83959">
        <w:rPr>
          <w:rFonts w:eastAsia="Times New Roman"/>
        </w:rPr>
        <w:t>,</w:t>
      </w:r>
      <w:r w:rsidR="00586908">
        <w:rPr>
          <w:rFonts w:eastAsia="Times New Roman"/>
        </w:rPr>
        <w:t xml:space="preserve"> soit</w:t>
      </w:r>
      <w:r w:rsidRPr="00E83959">
        <w:rPr>
          <w:rFonts w:eastAsia="Times New Roman"/>
        </w:rPr>
        <w:t xml:space="preserve"> 4 mois avant le séminaire. Les participants sont sélectionnés conjointement par le MINARM et le </w:t>
      </w:r>
      <w:r w:rsidR="00A51C43">
        <w:rPr>
          <w:rFonts w:eastAsia="Times New Roman"/>
        </w:rPr>
        <w:t>titulaire</w:t>
      </w:r>
      <w:r w:rsidRPr="00E83959">
        <w:rPr>
          <w:rFonts w:eastAsia="Times New Roman"/>
        </w:rPr>
        <w:t xml:space="preserve">. </w:t>
      </w:r>
    </w:p>
    <w:p w14:paraId="29D7EE69" w14:textId="21B6FAFE" w:rsidR="00903339" w:rsidRDefault="0096115F" w:rsidP="00D904AA">
      <w:pPr>
        <w:spacing w:before="120"/>
        <w:rPr>
          <w:rFonts w:eastAsia="Times New Roman"/>
        </w:rPr>
      </w:pPr>
      <w:r w:rsidRPr="00E83959">
        <w:rPr>
          <w:rFonts w:eastAsia="Times New Roman"/>
        </w:rPr>
        <w:t xml:space="preserve">Le </w:t>
      </w:r>
      <w:r w:rsidR="0097254C">
        <w:rPr>
          <w:rFonts w:eastAsia="Times New Roman"/>
        </w:rPr>
        <w:t>titulaire</w:t>
      </w:r>
      <w:r w:rsidR="0097254C" w:rsidRPr="00E83959">
        <w:rPr>
          <w:rFonts w:eastAsia="Times New Roman"/>
        </w:rPr>
        <w:t xml:space="preserve"> </w:t>
      </w:r>
      <w:r w:rsidR="00903339">
        <w:rPr>
          <w:rFonts w:eastAsia="Times New Roman"/>
        </w:rPr>
        <w:t>a</w:t>
      </w:r>
      <w:r w:rsidR="00903339" w:rsidRPr="00E83959">
        <w:rPr>
          <w:rFonts w:eastAsia="Times New Roman"/>
        </w:rPr>
        <w:t xml:space="preserve"> </w:t>
      </w:r>
      <w:r w:rsidRPr="00E83959">
        <w:rPr>
          <w:rFonts w:eastAsia="Times New Roman"/>
        </w:rPr>
        <w:t>à sa charge le transport et l’hébergement des invités dans les mêmes conditions définies précédemment</w:t>
      </w:r>
      <w:r w:rsidR="00A51C43">
        <w:rPr>
          <w:rFonts w:eastAsia="Times New Roman"/>
        </w:rPr>
        <w:t xml:space="preserve"> dans l’article 4.3 de l’annexe technique du CCP valant AE</w:t>
      </w:r>
      <w:r w:rsidRPr="00E83959">
        <w:rPr>
          <w:rFonts w:eastAsia="Times New Roman"/>
        </w:rPr>
        <w:t xml:space="preserve">. Le titulaire s’occupe des invitations. </w:t>
      </w:r>
    </w:p>
    <w:p w14:paraId="3EE1C01B" w14:textId="03C79454" w:rsidR="00586908" w:rsidRDefault="00586908" w:rsidP="00D904AA">
      <w:pPr>
        <w:spacing w:before="120"/>
        <w:rPr>
          <w:rFonts w:eastAsia="Times New Roman"/>
        </w:rPr>
      </w:pPr>
      <w:r w:rsidRPr="00586908">
        <w:rPr>
          <w:b/>
        </w:rPr>
        <w:t>Un compte rendu</w:t>
      </w:r>
      <w:r>
        <w:t xml:space="preserve"> de cet événement, sous forme de document PDF ou WORD de 10 pages maximum, doit être envoyé par courriel aux pilotes dans les 15 jours suivant le </w:t>
      </w:r>
      <w:r w:rsidR="0097254C">
        <w:t>séminaire</w:t>
      </w:r>
      <w:r>
        <w:t>.</w:t>
      </w:r>
    </w:p>
    <w:p w14:paraId="304698AF" w14:textId="1A921AE2" w:rsidR="00DF638B" w:rsidRPr="00FB330E" w:rsidRDefault="00DF638B" w:rsidP="00D904AA">
      <w:pPr>
        <w:spacing w:before="120" w:after="240"/>
        <w:rPr>
          <w:rFonts w:eastAsia="Times New Roman"/>
        </w:rPr>
      </w:pPr>
      <w:r>
        <w:rPr>
          <w:rFonts w:eastAsia="Times New Roman"/>
        </w:rPr>
        <w:t>L’objectif de ce séminaire, ainsi que d’autres informations complémentaires sur son organisation</w:t>
      </w:r>
      <w:r w:rsidR="0097254C">
        <w:rPr>
          <w:rFonts w:eastAsia="Times New Roman"/>
        </w:rPr>
        <w:t>,</w:t>
      </w:r>
      <w:r>
        <w:rPr>
          <w:rFonts w:eastAsia="Times New Roman"/>
        </w:rPr>
        <w:t xml:space="preserve"> sont </w:t>
      </w:r>
      <w:r w:rsidR="0097254C">
        <w:rPr>
          <w:rFonts w:eastAsia="Times New Roman"/>
        </w:rPr>
        <w:t xml:space="preserve">précisés </w:t>
      </w:r>
      <w:r>
        <w:rPr>
          <w:rFonts w:eastAsia="Times New Roman"/>
        </w:rPr>
        <w:t>lors des réunions</w:t>
      </w:r>
      <w:r w:rsidR="001C3A9E">
        <w:rPr>
          <w:rFonts w:eastAsia="Times New Roman"/>
        </w:rPr>
        <w:t xml:space="preserve"> d’étapes n°1 et 2</w:t>
      </w:r>
      <w:r>
        <w:rPr>
          <w:rFonts w:eastAsia="Times New Roman"/>
        </w:rPr>
        <w:t xml:space="preserve"> entre le</w:t>
      </w:r>
      <w:r w:rsidR="008223F0">
        <w:rPr>
          <w:rFonts w:eastAsia="Times New Roman"/>
        </w:rPr>
        <w:t>s</w:t>
      </w:r>
      <w:r>
        <w:rPr>
          <w:rFonts w:eastAsia="Times New Roman"/>
        </w:rPr>
        <w:t xml:space="preserve"> pilote</w:t>
      </w:r>
      <w:r w:rsidR="008223F0">
        <w:rPr>
          <w:rFonts w:eastAsia="Times New Roman"/>
        </w:rPr>
        <w:t>s</w:t>
      </w:r>
      <w:r>
        <w:rPr>
          <w:rFonts w:eastAsia="Times New Roman"/>
        </w:rPr>
        <w:t xml:space="preserve"> et le titulaire. </w:t>
      </w:r>
    </w:p>
    <w:p w14:paraId="2B6BAA16" w14:textId="77700A9C" w:rsidR="0096115F" w:rsidRPr="003C0C73" w:rsidRDefault="003C0C73" w:rsidP="008C3033">
      <w:pPr>
        <w:pStyle w:val="Paragraphedeliste"/>
        <w:spacing w:before="0" w:line="240" w:lineRule="auto"/>
        <w:ind w:left="717"/>
        <w:rPr>
          <w:b/>
          <w:u w:val="single"/>
        </w:rPr>
      </w:pPr>
      <w:r w:rsidRPr="003C0C73">
        <w:rPr>
          <w:b/>
          <w:u w:val="single"/>
        </w:rPr>
        <w:t xml:space="preserve">5. </w:t>
      </w:r>
      <w:r w:rsidR="0096115F" w:rsidRPr="003C0C73">
        <w:rPr>
          <w:b/>
          <w:u w:val="single"/>
        </w:rPr>
        <w:t>Réunions</w:t>
      </w:r>
    </w:p>
    <w:p w14:paraId="12778A96" w14:textId="171B8DD1" w:rsidR="00CF0DC5" w:rsidRPr="00CF0DC5" w:rsidRDefault="00CF0DC5" w:rsidP="0096115F">
      <w:pPr>
        <w:spacing w:before="60" w:after="60"/>
        <w:rPr>
          <w:rFonts w:eastAsia="Calibri" w:cs="Arial"/>
          <w:bCs/>
          <w:lang w:eastAsia="en-US"/>
        </w:rPr>
      </w:pPr>
      <w:r>
        <w:rPr>
          <w:rFonts w:eastAsia="Calibri" w:cs="Arial"/>
          <w:bCs/>
          <w:lang w:eastAsia="en-US"/>
        </w:rPr>
        <w:t>L’ensemble des réunions, mentionnées ci-dessous, sont organisées par les pilotes de l’observatoire, se déroulent au sein des locaux du ministère des Armées, durent 2h maximum et rassemblent les pilotes et 5 représentants maximum du titulaire :</w:t>
      </w:r>
    </w:p>
    <w:p w14:paraId="16428E5B" w14:textId="1D95D484" w:rsidR="0096115F" w:rsidRPr="00CF0DC5" w:rsidRDefault="0096115F" w:rsidP="00D904AA">
      <w:pPr>
        <w:pStyle w:val="Paragraphedeliste"/>
        <w:numPr>
          <w:ilvl w:val="0"/>
          <w:numId w:val="15"/>
        </w:numPr>
        <w:spacing w:line="240" w:lineRule="auto"/>
        <w:ind w:left="714" w:hanging="357"/>
        <w:contextualSpacing w:val="0"/>
        <w:rPr>
          <w:rFonts w:eastAsia="Calibri" w:cs="Arial"/>
          <w:bCs/>
        </w:rPr>
      </w:pPr>
      <w:r w:rsidRPr="00CF0DC5">
        <w:rPr>
          <w:rFonts w:eastAsia="Calibri" w:cs="Arial"/>
          <w:b/>
          <w:bCs/>
        </w:rPr>
        <w:t>Une réunion de lancement</w:t>
      </w:r>
      <w:r w:rsidR="0050464D">
        <w:rPr>
          <w:rFonts w:eastAsia="Calibri" w:cs="Arial"/>
          <w:b/>
          <w:bCs/>
        </w:rPr>
        <w:t xml:space="preserve"> de l’accord-cadre</w:t>
      </w:r>
      <w:r w:rsidRPr="00CF0DC5">
        <w:rPr>
          <w:rFonts w:eastAsia="Calibri" w:cs="Arial"/>
          <w:bCs/>
        </w:rPr>
        <w:t xml:space="preserve"> </w:t>
      </w:r>
      <w:r w:rsidR="00CF0DC5">
        <w:rPr>
          <w:rFonts w:eastAsia="Calibri" w:cs="Arial"/>
          <w:bCs/>
        </w:rPr>
        <w:t xml:space="preserve">au plus tard </w:t>
      </w:r>
      <w:r w:rsidR="0050464D">
        <w:rPr>
          <w:rFonts w:eastAsia="Calibri" w:cs="Arial"/>
          <w:bCs/>
        </w:rPr>
        <w:t>1 mois</w:t>
      </w:r>
      <w:r w:rsidR="00CF0DC5">
        <w:rPr>
          <w:rFonts w:eastAsia="Calibri" w:cs="Arial"/>
          <w:bCs/>
        </w:rPr>
        <w:t xml:space="preserve"> après la notification de l’accord-cadre</w:t>
      </w:r>
      <w:r w:rsidRPr="00CF0DC5">
        <w:rPr>
          <w:rFonts w:eastAsia="Calibri" w:cs="Arial"/>
          <w:bCs/>
        </w:rPr>
        <w:t>. Elle a pour but de déterminer les sujets de notes</w:t>
      </w:r>
      <w:r w:rsidR="0050464D">
        <w:rPr>
          <w:rFonts w:eastAsia="Calibri" w:cs="Arial"/>
          <w:bCs/>
        </w:rPr>
        <w:t xml:space="preserve"> de recherche</w:t>
      </w:r>
      <w:r w:rsidRPr="00CF0DC5">
        <w:rPr>
          <w:rFonts w:eastAsia="Calibri" w:cs="Arial"/>
          <w:bCs/>
        </w:rPr>
        <w:t xml:space="preserve">, les sujets </w:t>
      </w:r>
      <w:r w:rsidR="0097254C">
        <w:rPr>
          <w:rFonts w:eastAsia="Calibri" w:cs="Arial"/>
          <w:bCs/>
        </w:rPr>
        <w:t>du</w:t>
      </w:r>
      <w:r w:rsidR="0097254C" w:rsidRPr="00CF0DC5">
        <w:rPr>
          <w:rFonts w:eastAsia="Calibri" w:cs="Arial"/>
          <w:bCs/>
        </w:rPr>
        <w:t xml:space="preserve"> </w:t>
      </w:r>
      <w:r w:rsidRPr="00CF0DC5">
        <w:rPr>
          <w:rFonts w:eastAsia="Calibri" w:cs="Arial"/>
          <w:bCs/>
        </w:rPr>
        <w:t xml:space="preserve">café-débat et </w:t>
      </w:r>
      <w:r w:rsidR="0050464D">
        <w:rPr>
          <w:rFonts w:eastAsia="Calibri" w:cs="Arial"/>
          <w:bCs/>
        </w:rPr>
        <w:t>d’</w:t>
      </w:r>
      <w:r w:rsidRPr="00CF0DC5">
        <w:rPr>
          <w:rFonts w:eastAsia="Calibri" w:cs="Arial"/>
          <w:bCs/>
        </w:rPr>
        <w:t xml:space="preserve">aborder des pistes de thématiques pour le séminaire. </w:t>
      </w:r>
    </w:p>
    <w:p w14:paraId="125BFA19" w14:textId="2023D581" w:rsidR="0096115F" w:rsidRPr="00CF0DC5" w:rsidRDefault="00CF0DC5" w:rsidP="00D904AA">
      <w:pPr>
        <w:numPr>
          <w:ilvl w:val="0"/>
          <w:numId w:val="15"/>
        </w:numPr>
        <w:spacing w:before="60"/>
        <w:ind w:left="714" w:hanging="357"/>
        <w:rPr>
          <w:rFonts w:eastAsia="Calibri" w:cs="Arial"/>
          <w:bCs/>
          <w:lang w:eastAsia="en-US"/>
        </w:rPr>
      </w:pPr>
      <w:r w:rsidRPr="00CF0DC5">
        <w:rPr>
          <w:rFonts w:eastAsia="Calibri" w:cs="Arial"/>
          <w:b/>
          <w:bCs/>
          <w:lang w:eastAsia="en-US"/>
        </w:rPr>
        <w:t>Une r</w:t>
      </w:r>
      <w:r w:rsidR="0096115F" w:rsidRPr="00CF0DC5">
        <w:rPr>
          <w:rFonts w:eastAsia="Calibri" w:cs="Arial"/>
          <w:b/>
          <w:bCs/>
          <w:lang w:eastAsia="en-US"/>
        </w:rPr>
        <w:t>éunion d’étape n°1</w:t>
      </w:r>
      <w:r w:rsidR="0096115F" w:rsidRPr="00CF0DC5">
        <w:rPr>
          <w:rFonts w:eastAsia="Calibri" w:cs="Arial"/>
          <w:bCs/>
          <w:lang w:eastAsia="en-US"/>
        </w:rPr>
        <w:t xml:space="preserve"> </w:t>
      </w:r>
      <w:r w:rsidR="0050464D">
        <w:rPr>
          <w:rFonts w:eastAsia="Calibri" w:cs="Arial"/>
          <w:bCs/>
          <w:lang w:eastAsia="en-US"/>
        </w:rPr>
        <w:t xml:space="preserve">au plus tard </w:t>
      </w:r>
      <w:r w:rsidR="0096115F" w:rsidRPr="00CF0DC5">
        <w:rPr>
          <w:rFonts w:eastAsia="Calibri" w:cs="Arial"/>
          <w:bCs/>
          <w:lang w:eastAsia="en-US"/>
        </w:rPr>
        <w:t xml:space="preserve">6 mois </w:t>
      </w:r>
      <w:r w:rsidR="0050464D">
        <w:rPr>
          <w:rFonts w:eastAsia="Calibri" w:cs="Arial"/>
          <w:bCs/>
          <w:lang w:eastAsia="en-US"/>
        </w:rPr>
        <w:t>après la notification de l’accord-cadre</w:t>
      </w:r>
      <w:r w:rsidR="00E92C0D">
        <w:rPr>
          <w:rFonts w:eastAsia="Calibri" w:cs="Arial"/>
          <w:bCs/>
          <w:lang w:eastAsia="en-US"/>
        </w:rPr>
        <w:t xml:space="preserve"> et la notification de la reconduction de l’accord-cadre</w:t>
      </w:r>
      <w:r w:rsidR="0096115F" w:rsidRPr="00CF0DC5">
        <w:rPr>
          <w:rFonts w:eastAsia="Calibri" w:cs="Arial"/>
          <w:bCs/>
          <w:lang w:eastAsia="en-US"/>
        </w:rPr>
        <w:t xml:space="preserve">. Elle a pour but de faire un point d’étapes sur les commandes, les besoins respectifs. </w:t>
      </w:r>
    </w:p>
    <w:p w14:paraId="6D965E08" w14:textId="7CFFD5CD" w:rsidR="0096115F" w:rsidRPr="00CF0DC5" w:rsidRDefault="00CF0DC5" w:rsidP="00D904AA">
      <w:pPr>
        <w:numPr>
          <w:ilvl w:val="0"/>
          <w:numId w:val="15"/>
        </w:numPr>
        <w:spacing w:before="60"/>
        <w:ind w:left="714" w:hanging="357"/>
        <w:rPr>
          <w:rFonts w:eastAsia="Calibri" w:cs="Arial"/>
          <w:bCs/>
          <w:lang w:eastAsia="en-US"/>
        </w:rPr>
      </w:pPr>
      <w:r w:rsidRPr="00CF0DC5">
        <w:rPr>
          <w:rFonts w:eastAsia="Calibri" w:cs="Arial"/>
          <w:b/>
          <w:bCs/>
          <w:lang w:eastAsia="en-US"/>
        </w:rPr>
        <w:t>Une r</w:t>
      </w:r>
      <w:r w:rsidR="0096115F" w:rsidRPr="00CF0DC5">
        <w:rPr>
          <w:rFonts w:eastAsia="Calibri" w:cs="Arial"/>
          <w:b/>
          <w:bCs/>
          <w:lang w:eastAsia="en-US"/>
        </w:rPr>
        <w:t xml:space="preserve">éunion </w:t>
      </w:r>
      <w:r w:rsidR="0050464D">
        <w:rPr>
          <w:rFonts w:eastAsia="Calibri" w:cs="Arial"/>
          <w:b/>
          <w:bCs/>
          <w:lang w:eastAsia="en-US"/>
        </w:rPr>
        <w:t>d’étape</w:t>
      </w:r>
      <w:r w:rsidR="0050464D" w:rsidRPr="00CF0DC5">
        <w:rPr>
          <w:rFonts w:eastAsia="Calibri" w:cs="Arial"/>
          <w:b/>
          <w:bCs/>
          <w:lang w:eastAsia="en-US"/>
        </w:rPr>
        <w:t xml:space="preserve"> </w:t>
      </w:r>
      <w:r w:rsidR="0096115F" w:rsidRPr="00CF0DC5">
        <w:rPr>
          <w:rFonts w:eastAsia="Calibri" w:cs="Arial"/>
          <w:b/>
          <w:bCs/>
          <w:lang w:eastAsia="en-US"/>
        </w:rPr>
        <w:t>n°2</w:t>
      </w:r>
      <w:r w:rsidR="0096115F" w:rsidRPr="00CF0DC5">
        <w:rPr>
          <w:rFonts w:eastAsia="Calibri" w:cs="Arial"/>
          <w:bCs/>
          <w:lang w:eastAsia="en-US"/>
        </w:rPr>
        <w:t xml:space="preserve"> </w:t>
      </w:r>
      <w:r w:rsidR="0050464D">
        <w:rPr>
          <w:rFonts w:eastAsia="Calibri" w:cs="Arial"/>
          <w:bCs/>
          <w:lang w:eastAsia="en-US"/>
        </w:rPr>
        <w:t xml:space="preserve">au plus tard </w:t>
      </w:r>
      <w:r w:rsidR="0096115F" w:rsidRPr="00CF0DC5">
        <w:rPr>
          <w:rFonts w:eastAsia="Calibri" w:cs="Arial"/>
          <w:bCs/>
          <w:lang w:eastAsia="en-US"/>
        </w:rPr>
        <w:t>8</w:t>
      </w:r>
      <w:r w:rsidR="0050464D">
        <w:rPr>
          <w:rFonts w:eastAsia="Calibri" w:cs="Arial"/>
          <w:bCs/>
          <w:lang w:eastAsia="en-US"/>
        </w:rPr>
        <w:t xml:space="preserve"> mois après la notification de l’accord-cadre</w:t>
      </w:r>
      <w:r w:rsidR="00E92C0D">
        <w:rPr>
          <w:rFonts w:eastAsia="Calibri" w:cs="Arial"/>
          <w:bCs/>
          <w:lang w:eastAsia="en-US"/>
        </w:rPr>
        <w:t xml:space="preserve"> et la notification de la reconduction de l’accord-cadre</w:t>
      </w:r>
      <w:r w:rsidR="0096115F" w:rsidRPr="00CF0DC5">
        <w:rPr>
          <w:rFonts w:eastAsia="Calibri" w:cs="Arial"/>
          <w:bCs/>
          <w:lang w:eastAsia="en-US"/>
        </w:rPr>
        <w:t>. Elle a pour but de faire un point d’étapes sur les commandes, les besoins respectifs et de finaliser l’organisation du séminaire.</w:t>
      </w:r>
    </w:p>
    <w:p w14:paraId="38A39721" w14:textId="7DBA0B36" w:rsidR="0096115F" w:rsidRPr="00E92C0D" w:rsidRDefault="00E92C0D" w:rsidP="00D904AA">
      <w:pPr>
        <w:pStyle w:val="Paragraphedeliste"/>
        <w:spacing w:before="240" w:line="240" w:lineRule="auto"/>
        <w:ind w:left="714"/>
        <w:contextualSpacing w:val="0"/>
        <w:rPr>
          <w:b/>
          <w:u w:val="single"/>
        </w:rPr>
      </w:pPr>
      <w:r>
        <w:rPr>
          <w:b/>
          <w:u w:val="single"/>
        </w:rPr>
        <w:t xml:space="preserve">6. </w:t>
      </w:r>
      <w:r w:rsidR="0096115F" w:rsidRPr="00E92C0D">
        <w:rPr>
          <w:b/>
          <w:u w:val="single"/>
        </w:rPr>
        <w:t>Exigences relatives à la composition de l’équipe projet</w:t>
      </w:r>
    </w:p>
    <w:p w14:paraId="76E98F12" w14:textId="2CBFB7BA" w:rsidR="0096115F" w:rsidRPr="00E92C0D" w:rsidRDefault="00E92C0D" w:rsidP="0096115F">
      <w:pPr>
        <w:pStyle w:val="0TEXTE"/>
        <w:rPr>
          <w:rFonts w:ascii="Arial" w:hAnsi="Arial" w:cs="Arial"/>
          <w:bCs/>
          <w:szCs w:val="20"/>
          <w:lang w:eastAsia="en-US"/>
        </w:rPr>
      </w:pPr>
      <w:r>
        <w:rPr>
          <w:rFonts w:ascii="Arial" w:hAnsi="Arial" w:cs="Arial"/>
          <w:bCs/>
          <w:szCs w:val="20"/>
          <w:lang w:eastAsia="en-US"/>
        </w:rPr>
        <w:t>Les exigences relatives à la composition de l’équipe projet sont les suivantes</w:t>
      </w:r>
      <w:r w:rsidR="0096115F" w:rsidRPr="00E92C0D">
        <w:rPr>
          <w:rFonts w:ascii="Arial" w:hAnsi="Arial" w:cs="Arial"/>
          <w:bCs/>
          <w:szCs w:val="20"/>
          <w:lang w:eastAsia="en-US"/>
        </w:rPr>
        <w:t xml:space="preserve"> :</w:t>
      </w:r>
    </w:p>
    <w:p w14:paraId="672F7CB2" w14:textId="51F8128A" w:rsidR="00E92C0D" w:rsidRDefault="00E92C0D" w:rsidP="00D904AA">
      <w:pPr>
        <w:numPr>
          <w:ilvl w:val="0"/>
          <w:numId w:val="15"/>
        </w:numPr>
        <w:spacing w:before="60"/>
        <w:ind w:left="714" w:hanging="357"/>
        <w:jc w:val="left"/>
        <w:rPr>
          <w:rFonts w:eastAsia="Calibri" w:cs="Arial"/>
          <w:lang w:eastAsia="en-US"/>
        </w:rPr>
      </w:pPr>
      <w:r>
        <w:rPr>
          <w:rFonts w:eastAsia="Calibri" w:cs="Arial"/>
          <w:lang w:eastAsia="en-US"/>
        </w:rPr>
        <w:t>Présence d</w:t>
      </w:r>
      <w:r w:rsidR="0096115F" w:rsidRPr="00E92C0D">
        <w:rPr>
          <w:rFonts w:eastAsia="Calibri" w:cs="Arial"/>
          <w:lang w:eastAsia="en-US"/>
        </w:rPr>
        <w:t>’un doctorant ou post-doctorant</w:t>
      </w:r>
      <w:r>
        <w:rPr>
          <w:rFonts w:eastAsia="Calibri" w:cs="Arial"/>
          <w:lang w:eastAsia="en-US"/>
        </w:rPr>
        <w:t xml:space="preserve"> dans l’équipe ;</w:t>
      </w:r>
    </w:p>
    <w:p w14:paraId="7922ADAE" w14:textId="636B41BC" w:rsidR="0096115F" w:rsidRPr="00E92C0D" w:rsidRDefault="00E92C0D" w:rsidP="00D904AA">
      <w:pPr>
        <w:numPr>
          <w:ilvl w:val="0"/>
          <w:numId w:val="15"/>
        </w:numPr>
        <w:spacing w:before="60"/>
        <w:ind w:left="714" w:hanging="357"/>
        <w:jc w:val="left"/>
        <w:rPr>
          <w:rFonts w:eastAsia="Calibri" w:cs="Arial"/>
          <w:lang w:eastAsia="en-US"/>
        </w:rPr>
      </w:pPr>
      <w:r>
        <w:rPr>
          <w:rFonts w:eastAsia="Calibri" w:cs="Arial"/>
          <w:lang w:eastAsia="en-US"/>
        </w:rPr>
        <w:t>Pluralité des profils recherchés :</w:t>
      </w:r>
      <w:r w:rsidR="0096115F" w:rsidRPr="00E92C0D">
        <w:rPr>
          <w:rFonts w:eastAsia="Calibri" w:cs="Arial"/>
          <w:lang w:eastAsia="en-US"/>
        </w:rPr>
        <w:t xml:space="preserve"> ancien diplomate, ancien militaire, </w:t>
      </w:r>
      <w:proofErr w:type="spellStart"/>
      <w:r w:rsidR="0096115F" w:rsidRPr="00E92C0D">
        <w:rPr>
          <w:rFonts w:eastAsia="Calibri" w:cs="Arial"/>
          <w:i/>
          <w:lang w:eastAsia="en-US"/>
        </w:rPr>
        <w:t>think</w:t>
      </w:r>
      <w:proofErr w:type="spellEnd"/>
      <w:r w:rsidR="0096115F" w:rsidRPr="00E92C0D">
        <w:rPr>
          <w:rFonts w:eastAsia="Calibri" w:cs="Arial"/>
          <w:i/>
          <w:lang w:eastAsia="en-US"/>
        </w:rPr>
        <w:t xml:space="preserve"> tank</w:t>
      </w:r>
      <w:r w:rsidRPr="00E92C0D">
        <w:rPr>
          <w:rFonts w:eastAsia="Calibri" w:cs="Arial"/>
          <w:lang w:eastAsia="en-US"/>
        </w:rPr>
        <w:t>, chercheurs</w:t>
      </w:r>
      <w:r>
        <w:rPr>
          <w:rFonts w:eastAsia="Calibri" w:cs="Arial"/>
          <w:i/>
          <w:lang w:eastAsia="en-US"/>
        </w:rPr>
        <w:t> </w:t>
      </w:r>
      <w:r>
        <w:rPr>
          <w:rFonts w:eastAsia="Calibri" w:cs="Arial"/>
          <w:lang w:eastAsia="en-US"/>
        </w:rPr>
        <w:t>;</w:t>
      </w:r>
    </w:p>
    <w:p w14:paraId="426DEE10" w14:textId="7A71747F" w:rsidR="0096115F" w:rsidRPr="00E92C0D" w:rsidRDefault="00E92C0D" w:rsidP="00D904AA">
      <w:pPr>
        <w:pStyle w:val="0TEXTE"/>
        <w:numPr>
          <w:ilvl w:val="0"/>
          <w:numId w:val="15"/>
        </w:numPr>
        <w:spacing w:before="60"/>
        <w:ind w:left="714" w:hanging="357"/>
        <w:rPr>
          <w:rFonts w:ascii="Arial" w:hAnsi="Arial" w:cs="Arial"/>
          <w:bCs/>
          <w:szCs w:val="20"/>
          <w:lang w:eastAsia="en-US"/>
        </w:rPr>
      </w:pPr>
      <w:r>
        <w:rPr>
          <w:rFonts w:ascii="Arial" w:hAnsi="Arial" w:cs="Arial"/>
          <w:bCs/>
          <w:szCs w:val="20"/>
          <w:lang w:eastAsia="en-US"/>
        </w:rPr>
        <w:t>Présence</w:t>
      </w:r>
      <w:r w:rsidR="0096115F" w:rsidRPr="00E92C0D">
        <w:rPr>
          <w:rFonts w:ascii="Arial" w:hAnsi="Arial" w:cs="Arial"/>
          <w:bCs/>
          <w:szCs w:val="20"/>
          <w:lang w:eastAsia="en-US"/>
        </w:rPr>
        <w:t xml:space="preserve"> de spécialistes en science politique, géopolitique, relations internationales, histoire, sociologie ;</w:t>
      </w:r>
    </w:p>
    <w:p w14:paraId="222385B8" w14:textId="3471E0AA" w:rsidR="0000324D" w:rsidRPr="00D904AA" w:rsidRDefault="0096115F" w:rsidP="00D904AA">
      <w:pPr>
        <w:numPr>
          <w:ilvl w:val="0"/>
          <w:numId w:val="33"/>
        </w:numPr>
        <w:spacing w:before="60"/>
        <w:ind w:left="714" w:hanging="357"/>
        <w:rPr>
          <w:rFonts w:eastAsia="Calibri" w:cs="Arial"/>
          <w:lang w:eastAsia="en-US"/>
        </w:rPr>
      </w:pPr>
      <w:r w:rsidRPr="00E92C0D">
        <w:rPr>
          <w:rFonts w:eastAsia="Calibri" w:cs="Arial"/>
          <w:lang w:eastAsia="en-US"/>
        </w:rPr>
        <w:t>Compétences indispensables : une expérience et/ou une expertise sur l’Afrique de l’Est et/ou centrale et/ou Australe</w:t>
      </w:r>
      <w:r w:rsidR="00D50608">
        <w:rPr>
          <w:rFonts w:eastAsia="Calibri" w:cs="Arial"/>
          <w:lang w:eastAsia="en-US"/>
        </w:rPr>
        <w:t xml:space="preserve"> de </w:t>
      </w:r>
      <w:r w:rsidR="00F25DA3">
        <w:rPr>
          <w:rFonts w:eastAsia="Calibri" w:cs="Arial"/>
          <w:lang w:eastAsia="en-US"/>
        </w:rPr>
        <w:t>3</w:t>
      </w:r>
      <w:r w:rsidR="00D50608">
        <w:rPr>
          <w:rFonts w:eastAsia="Calibri" w:cs="Arial"/>
          <w:lang w:eastAsia="en-US"/>
        </w:rPr>
        <w:t xml:space="preserve"> ans au minimum</w:t>
      </w:r>
      <w:r w:rsidRPr="00E92C0D">
        <w:rPr>
          <w:rFonts w:eastAsia="Calibri" w:cs="Arial"/>
          <w:lang w:eastAsia="en-US"/>
        </w:rPr>
        <w:t>.</w:t>
      </w:r>
    </w:p>
    <w:sectPr w:rsidR="0000324D" w:rsidRPr="00D904AA" w:rsidSect="00D61A8B">
      <w:footerReference w:type="default" r:id="rId16"/>
      <w:headerReference w:type="first" r:id="rId17"/>
      <w:footerReference w:type="first" r:id="rId18"/>
      <w:pgSz w:w="11906" w:h="16838" w:code="9"/>
      <w:pgMar w:top="964" w:right="964" w:bottom="964" w:left="964" w:header="1020"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8B9D1" w14:textId="77777777" w:rsidR="00610A57" w:rsidRDefault="00610A57" w:rsidP="00C7548A">
      <w:r>
        <w:separator/>
      </w:r>
    </w:p>
  </w:endnote>
  <w:endnote w:type="continuationSeparator" w:id="0">
    <w:p w14:paraId="53863C62" w14:textId="77777777" w:rsidR="00610A57" w:rsidRDefault="00610A57" w:rsidP="00C75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G Times (E1)">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MingLiU">
    <w:altName w:val="Microsoft JhengHei"/>
    <w:panose1 w:val="02010601000101010101"/>
    <w:charset w:val="88"/>
    <w:family w:val="auto"/>
    <w:pitch w:val="variable"/>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432668"/>
      <w:docPartObj>
        <w:docPartGallery w:val="Page Numbers (Bottom of Page)"/>
        <w:docPartUnique/>
      </w:docPartObj>
    </w:sdtPr>
    <w:sdtEndPr/>
    <w:sdtContent>
      <w:sdt>
        <w:sdtPr>
          <w:id w:val="-1769616900"/>
          <w:docPartObj>
            <w:docPartGallery w:val="Page Numbers (Top of Page)"/>
            <w:docPartUnique/>
          </w:docPartObj>
        </w:sdtPr>
        <w:sdtEndPr/>
        <w:sdtContent>
          <w:p w14:paraId="6033BD8E" w14:textId="64FAD916" w:rsidR="009F0863" w:rsidRDefault="009F0863">
            <w:pPr>
              <w:pStyle w:val="Pieddepage"/>
              <w:jc w:val="right"/>
            </w:pPr>
            <w:r>
              <w:rPr>
                <w:b/>
                <w:bCs/>
                <w:sz w:val="24"/>
                <w:szCs w:val="24"/>
              </w:rPr>
              <w:fldChar w:fldCharType="begin"/>
            </w:r>
            <w:r>
              <w:rPr>
                <w:b/>
                <w:bCs/>
              </w:rPr>
              <w:instrText>PAGE</w:instrText>
            </w:r>
            <w:r>
              <w:rPr>
                <w:b/>
                <w:bCs/>
                <w:sz w:val="24"/>
                <w:szCs w:val="24"/>
              </w:rPr>
              <w:fldChar w:fldCharType="separate"/>
            </w:r>
            <w:r w:rsidR="008966A8">
              <w:rPr>
                <w:b/>
                <w:bCs/>
                <w:noProof/>
              </w:rPr>
              <w:t>22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8966A8">
              <w:rPr>
                <w:b/>
                <w:bCs/>
                <w:noProof/>
              </w:rPr>
              <w:t>33</w:t>
            </w:r>
            <w:r>
              <w:rPr>
                <w:b/>
                <w:bCs/>
                <w:sz w:val="24"/>
                <w:szCs w:val="24"/>
              </w:rPr>
              <w:fldChar w:fldCharType="end"/>
            </w:r>
          </w:p>
        </w:sdtContent>
      </w:sdt>
    </w:sdtContent>
  </w:sdt>
  <w:p w14:paraId="3BFBED91" w14:textId="77777777" w:rsidR="009F0863" w:rsidRDefault="009F0863" w:rsidP="00C754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FCBF" w14:textId="6BF25B9F" w:rsidR="009F0863" w:rsidRPr="0024374B" w:rsidRDefault="009F0863" w:rsidP="00C7548A">
    <w:pPr>
      <w:pStyle w:val="Paragraphestandard"/>
    </w:pPr>
    <w:r>
      <w:rPr>
        <w:rFonts w:ascii="Marianne" w:hAnsi="Marianne"/>
        <w:noProof/>
      </w:rPr>
      <w:drawing>
        <wp:anchor distT="0" distB="0" distL="114300" distR="114300" simplePos="0" relativeHeight="251662336" behindDoc="1" locked="0" layoutInCell="1" allowOverlap="1" wp14:anchorId="3ABAE31C" wp14:editId="013D0A0A">
          <wp:simplePos x="0" y="0"/>
          <wp:positionH relativeFrom="margin">
            <wp:posOffset>3452784</wp:posOffset>
          </wp:positionH>
          <wp:positionV relativeFrom="paragraph">
            <wp:posOffset>108585</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00699F47" wp14:editId="49BB244F">
          <wp:simplePos x="0" y="0"/>
          <wp:positionH relativeFrom="margin">
            <wp:posOffset>2321654</wp:posOffset>
          </wp:positionH>
          <wp:positionV relativeFrom="margin">
            <wp:posOffset>9111213</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348D120A" w14:textId="1B225C46" w:rsidR="009F0863" w:rsidRPr="0024374B" w:rsidRDefault="009F0863" w:rsidP="00C7548A">
    <w:pPr>
      <w:pStyle w:val="Paragraphestandard"/>
    </w:pPr>
    <w:r w:rsidRPr="0024374B">
      <w:t xml:space="preserve">60 boulevard du Général Martial </w:t>
    </w:r>
    <w:proofErr w:type="spellStart"/>
    <w:r w:rsidRPr="0024374B">
      <w:t>Valin</w:t>
    </w:r>
    <w:proofErr w:type="spellEnd"/>
    <w:r w:rsidRPr="0024374B">
      <w:t xml:space="preserve"> </w:t>
    </w:r>
  </w:p>
  <w:p w14:paraId="22F9DDA1" w14:textId="50A04E05" w:rsidR="009F0863" w:rsidRPr="0024374B" w:rsidRDefault="009F0863" w:rsidP="00C7548A">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79DF7" w14:textId="77777777" w:rsidR="00610A57" w:rsidRDefault="00610A57" w:rsidP="00C7548A">
      <w:r>
        <w:separator/>
      </w:r>
    </w:p>
  </w:footnote>
  <w:footnote w:type="continuationSeparator" w:id="0">
    <w:p w14:paraId="12BBE265" w14:textId="77777777" w:rsidR="00610A57" w:rsidRDefault="00610A57" w:rsidP="00C75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BF42E" w14:textId="0E97ADC7" w:rsidR="009F0863" w:rsidRPr="00865300" w:rsidRDefault="009F0863" w:rsidP="00C7548A">
    <w:pPr>
      <w:pStyle w:val="En-tte"/>
    </w:pPr>
    <w:r>
      <w:rPr>
        <w:noProof/>
      </w:rPr>
      <w:drawing>
        <wp:anchor distT="0" distB="0" distL="114300" distR="114300" simplePos="0" relativeHeight="251663360" behindDoc="1" locked="0" layoutInCell="1" allowOverlap="0" wp14:anchorId="663FC525" wp14:editId="5EDEBDE2">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7168620"/>
    <w:lvl w:ilvl="0">
      <w:numFmt w:val="decimal"/>
      <w:pStyle w:val="Tiret1"/>
      <w:lvlText w:val="*"/>
      <w:lvlJc w:val="left"/>
    </w:lvl>
  </w:abstractNum>
  <w:abstractNum w:abstractNumId="1" w15:restartNumberingAfterBreak="0">
    <w:nsid w:val="03673996"/>
    <w:multiLevelType w:val="hybridMultilevel"/>
    <w:tmpl w:val="2BF0F168"/>
    <w:lvl w:ilvl="0" w:tplc="E88A9026">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31C63"/>
    <w:multiLevelType w:val="hybridMultilevel"/>
    <w:tmpl w:val="44A00F72"/>
    <w:lvl w:ilvl="0" w:tplc="4C642FBA">
      <w:start w:val="3"/>
      <w:numFmt w:val="decimal"/>
      <w:lvlText w:val="%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3" w15:restartNumberingAfterBreak="0">
    <w:nsid w:val="13E84C7D"/>
    <w:multiLevelType w:val="hybridMultilevel"/>
    <w:tmpl w:val="73283C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DF5672"/>
    <w:multiLevelType w:val="hybridMultilevel"/>
    <w:tmpl w:val="95C66982"/>
    <w:lvl w:ilvl="0" w:tplc="F8EE755A">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B50446"/>
    <w:multiLevelType w:val="multilevel"/>
    <w:tmpl w:val="2E446F0C"/>
    <w:lvl w:ilvl="0">
      <w:start w:val="14"/>
      <w:numFmt w:val="decimal"/>
      <w:lvlText w:val="%1."/>
      <w:lvlJc w:val="left"/>
      <w:pPr>
        <w:ind w:left="765" w:hanging="765"/>
      </w:pPr>
      <w:rPr>
        <w:rFonts w:hint="default"/>
      </w:rPr>
    </w:lvl>
    <w:lvl w:ilvl="1">
      <w:start w:val="3"/>
      <w:numFmt w:val="decimal"/>
      <w:lvlText w:val="%1.%2."/>
      <w:lvlJc w:val="left"/>
      <w:pPr>
        <w:ind w:left="859" w:hanging="765"/>
      </w:pPr>
      <w:rPr>
        <w:rFonts w:hint="default"/>
      </w:rPr>
    </w:lvl>
    <w:lvl w:ilvl="2">
      <w:start w:val="1"/>
      <w:numFmt w:val="decimal"/>
      <w:lvlText w:val="%1.%2.%3."/>
      <w:lvlJc w:val="left"/>
      <w:pPr>
        <w:ind w:left="953" w:hanging="765"/>
      </w:pPr>
      <w:rPr>
        <w:rFonts w:hint="default"/>
      </w:rPr>
    </w:lvl>
    <w:lvl w:ilvl="3">
      <w:start w:val="1"/>
      <w:numFmt w:val="decimal"/>
      <w:lvlText w:val="%1.%2.%3.%4."/>
      <w:lvlJc w:val="left"/>
      <w:pPr>
        <w:ind w:left="1190" w:hanging="765"/>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198A6C0D"/>
    <w:multiLevelType w:val="hybridMultilevel"/>
    <w:tmpl w:val="F4F63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445E72"/>
    <w:multiLevelType w:val="hybridMultilevel"/>
    <w:tmpl w:val="B694C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205DA1"/>
    <w:multiLevelType w:val="hybridMultilevel"/>
    <w:tmpl w:val="7CD209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AC7BC6"/>
    <w:multiLevelType w:val="hybridMultilevel"/>
    <w:tmpl w:val="00FAE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E41062"/>
    <w:multiLevelType w:val="multilevel"/>
    <w:tmpl w:val="71CC33C0"/>
    <w:lvl w:ilvl="0">
      <w:start w:val="14"/>
      <w:numFmt w:val="decimal"/>
      <w:lvlText w:val="%1."/>
      <w:lvlJc w:val="left"/>
      <w:pPr>
        <w:ind w:left="600" w:hanging="600"/>
      </w:pPr>
      <w:rPr>
        <w:rFonts w:hint="default"/>
      </w:rPr>
    </w:lvl>
    <w:lvl w:ilvl="1">
      <w:start w:val="3"/>
      <w:numFmt w:val="decimal"/>
      <w:lvlText w:val="%1.%2."/>
      <w:lvlJc w:val="left"/>
      <w:pPr>
        <w:ind w:left="647" w:hanging="600"/>
      </w:pPr>
      <w:rPr>
        <w:rFonts w:hint="default"/>
      </w:rPr>
    </w:lvl>
    <w:lvl w:ilvl="2">
      <w:start w:val="6"/>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1" w15:restartNumberingAfterBreak="0">
    <w:nsid w:val="24BD32EE"/>
    <w:multiLevelType w:val="hybridMultilevel"/>
    <w:tmpl w:val="19A67C6E"/>
    <w:lvl w:ilvl="0" w:tplc="9F3C377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CB1C00"/>
    <w:multiLevelType w:val="hybridMultilevel"/>
    <w:tmpl w:val="F6D280AC"/>
    <w:lvl w:ilvl="0" w:tplc="0B8AFCC0">
      <w:numFmt w:val="bullet"/>
      <w:lvlText w:val="-"/>
      <w:lvlJc w:val="left"/>
      <w:pPr>
        <w:ind w:left="1506" w:hanging="360"/>
      </w:pPr>
      <w:rPr>
        <w:rFonts w:ascii="Calibri" w:eastAsia="Calibri" w:hAnsi="Calibri" w:cs="Times New Roman"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3" w15:restartNumberingAfterBreak="0">
    <w:nsid w:val="276C1A69"/>
    <w:multiLevelType w:val="hybridMultilevel"/>
    <w:tmpl w:val="8A963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2058B1"/>
    <w:multiLevelType w:val="hybridMultilevel"/>
    <w:tmpl w:val="9CA04506"/>
    <w:lvl w:ilvl="0" w:tplc="950A1048">
      <w:start w:val="1"/>
      <w:numFmt w:val="decimal"/>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5" w15:restartNumberingAfterBreak="0">
    <w:nsid w:val="318D2C4D"/>
    <w:multiLevelType w:val="hybridMultilevel"/>
    <w:tmpl w:val="6E88F5F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397F7A"/>
    <w:multiLevelType w:val="hybridMultilevel"/>
    <w:tmpl w:val="9E20C902"/>
    <w:lvl w:ilvl="0" w:tplc="78DE40AE">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016848"/>
    <w:multiLevelType w:val="hybridMultilevel"/>
    <w:tmpl w:val="A064BA44"/>
    <w:lvl w:ilvl="0" w:tplc="36F0DE8E">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6548BE"/>
    <w:multiLevelType w:val="hybridMultilevel"/>
    <w:tmpl w:val="A7F0235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CA67A8"/>
    <w:multiLevelType w:val="multilevel"/>
    <w:tmpl w:val="65FA7E76"/>
    <w:lvl w:ilvl="0">
      <w:start w:val="1"/>
      <w:numFmt w:val="upperRoman"/>
      <w:pStyle w:val="Titre1"/>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20" w15:restartNumberingAfterBreak="0">
    <w:nsid w:val="46671A75"/>
    <w:multiLevelType w:val="multilevel"/>
    <w:tmpl w:val="09903F2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47F01601"/>
    <w:multiLevelType w:val="hybridMultilevel"/>
    <w:tmpl w:val="3004652C"/>
    <w:lvl w:ilvl="0" w:tplc="DAD81F8E">
      <w:start w:val="3"/>
      <w:numFmt w:val="bullet"/>
      <w:lvlText w:val="-"/>
      <w:lvlJc w:val="left"/>
      <w:pPr>
        <w:ind w:left="720" w:hanging="360"/>
      </w:pPr>
      <w:rPr>
        <w:rFonts w:ascii="Calibri" w:eastAsia="Calibri" w:hAnsi="Calibri" w:cs="Times New Roman" w:hint="default"/>
        <w:b w:val="0"/>
      </w:rPr>
    </w:lvl>
    <w:lvl w:ilvl="1" w:tplc="0B8AFCC0">
      <w:numFmt w:val="bullet"/>
      <w:lvlText w:val="-"/>
      <w:lvlJc w:val="left"/>
      <w:pPr>
        <w:ind w:left="1440" w:hanging="360"/>
      </w:pPr>
      <w:rPr>
        <w:rFonts w:ascii="Calibri" w:eastAsia="Calibri"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AB3619"/>
    <w:multiLevelType w:val="singleLevel"/>
    <w:tmpl w:val="1E0ADECE"/>
    <w:lvl w:ilvl="0">
      <w:start w:val="8"/>
      <w:numFmt w:val="decimal"/>
      <w:pStyle w:val="numero"/>
      <w:lvlText w:val="(%1)"/>
      <w:lvlJc w:val="left"/>
      <w:pPr>
        <w:tabs>
          <w:tab w:val="num" w:pos="360"/>
        </w:tabs>
        <w:ind w:left="360" w:hanging="360"/>
      </w:pPr>
      <w:rPr>
        <w:rFonts w:hint="default"/>
        <w:i w:val="0"/>
        <w:iCs w:val="0"/>
      </w:rPr>
    </w:lvl>
  </w:abstractNum>
  <w:abstractNum w:abstractNumId="24" w15:restartNumberingAfterBreak="0">
    <w:nsid w:val="56DA20AA"/>
    <w:multiLevelType w:val="hybridMultilevel"/>
    <w:tmpl w:val="FCD2B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8F601C"/>
    <w:multiLevelType w:val="hybridMultilevel"/>
    <w:tmpl w:val="DD6AD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A50E40"/>
    <w:multiLevelType w:val="hybridMultilevel"/>
    <w:tmpl w:val="7264EB2C"/>
    <w:lvl w:ilvl="0" w:tplc="DA20BC30">
      <w:start w:val="6"/>
      <w:numFmt w:val="bullet"/>
      <w:lvlText w:val="-"/>
      <w:lvlJc w:val="left"/>
      <w:pPr>
        <w:ind w:left="360" w:hanging="360"/>
      </w:pPr>
      <w:rPr>
        <w:rFonts w:ascii="Times New Roman" w:eastAsia="Times New Roman" w:hAnsi="Times New Roman" w:cs="Times New Roman"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C310669"/>
    <w:multiLevelType w:val="singleLevel"/>
    <w:tmpl w:val="A92A2818"/>
    <w:lvl w:ilvl="0">
      <w:start w:val="1"/>
      <w:numFmt w:val="decimal"/>
      <w:pStyle w:val="NomAnnexe"/>
      <w:lvlText w:val=" %1"/>
      <w:lvlJc w:val="left"/>
      <w:pPr>
        <w:tabs>
          <w:tab w:val="num" w:pos="720"/>
        </w:tabs>
        <w:ind w:left="720" w:hanging="720"/>
      </w:pPr>
      <w:rPr>
        <w:rFonts w:hint="default"/>
      </w:rPr>
    </w:lvl>
  </w:abstractNum>
  <w:abstractNum w:abstractNumId="28"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29"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036C04"/>
    <w:multiLevelType w:val="hybridMultilevel"/>
    <w:tmpl w:val="2312E1C4"/>
    <w:lvl w:ilvl="0" w:tplc="02109BA8">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EA6FC2"/>
    <w:multiLevelType w:val="multilevel"/>
    <w:tmpl w:val="8C4CB6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33" w15:restartNumberingAfterBreak="0">
    <w:nsid w:val="760E54D8"/>
    <w:multiLevelType w:val="hybridMultilevel"/>
    <w:tmpl w:val="EE4C693E"/>
    <w:lvl w:ilvl="0" w:tplc="B1CA40D0">
      <w:numFmt w:val="bullet"/>
      <w:pStyle w:val="point-gaauche"/>
      <w:lvlText w:val=""/>
      <w:lvlJc w:val="left"/>
      <w:pPr>
        <w:tabs>
          <w:tab w:val="num" w:pos="794"/>
        </w:tabs>
        <w:ind w:left="794" w:hanging="510"/>
      </w:pPr>
      <w:rPr>
        <w:rFonts w:ascii="Symbol" w:hAnsi="Symbol" w:hint="default"/>
        <w:color w:val="auto"/>
        <w:sz w:val="24"/>
      </w:rPr>
    </w:lvl>
    <w:lvl w:ilvl="1" w:tplc="061A6D1C">
      <w:start w:val="1"/>
      <w:numFmt w:val="bullet"/>
      <w:lvlText w:val=""/>
      <w:lvlJc w:val="left"/>
      <w:pPr>
        <w:tabs>
          <w:tab w:val="num" w:pos="1440"/>
        </w:tabs>
        <w:ind w:left="1440" w:hanging="360"/>
      </w:pPr>
      <w:rPr>
        <w:rFonts w:ascii="Symbol" w:hAnsi="Symbol" w:hint="default"/>
        <w:color w:val="auto"/>
        <w:sz w:val="24"/>
      </w:rPr>
    </w:lvl>
    <w:lvl w:ilvl="2" w:tplc="93800414">
      <w:numFmt w:val="bullet"/>
      <w:lvlText w:val="-"/>
      <w:lvlJc w:val="left"/>
      <w:pPr>
        <w:tabs>
          <w:tab w:val="num" w:pos="2160"/>
        </w:tabs>
        <w:ind w:left="2140" w:hanging="340"/>
      </w:pPr>
      <w:rPr>
        <w:rFonts w:hint="default"/>
        <w:color w:val="auto"/>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5219B7"/>
    <w:multiLevelType w:val="hybridMultilevel"/>
    <w:tmpl w:val="FEF8F8B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CA064F4"/>
    <w:multiLevelType w:val="multilevel"/>
    <w:tmpl w:val="9022066E"/>
    <w:name w:val="CCAP_2024"/>
    <w:lvl w:ilvl="0">
      <w:start w:val="1"/>
      <w:numFmt w:val="decimal"/>
      <w:lvlText w:val="ARTICLE %1."/>
      <w:lvlJc w:val="left"/>
      <w:pPr>
        <w:ind w:left="0" w:firstLine="0"/>
      </w:pPr>
      <w:rPr>
        <w:rFonts w:ascii="Arial" w:hAnsi="Arial" w:hint="default"/>
        <w:b/>
        <w:i w:val="0"/>
        <w:color w:val="auto"/>
        <w:sz w:val="22"/>
      </w:rPr>
    </w:lvl>
    <w:lvl w:ilvl="1">
      <w:start w:val="1"/>
      <w:numFmt w:val="decimal"/>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284"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36" w15:restartNumberingAfterBreak="0">
    <w:nsid w:val="7D93377C"/>
    <w:multiLevelType w:val="hybridMultilevel"/>
    <w:tmpl w:val="B4ACD8E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32"/>
  </w:num>
  <w:num w:numId="3">
    <w:abstractNumId w:val="27"/>
  </w:num>
  <w:num w:numId="4">
    <w:abstractNumId w:val="23"/>
  </w:num>
  <w:num w:numId="5">
    <w:abstractNumId w:val="28"/>
  </w:num>
  <w:num w:numId="6">
    <w:abstractNumId w:val="33"/>
  </w:num>
  <w:num w:numId="7">
    <w:abstractNumId w:val="0"/>
    <w:lvlOverride w:ilvl="0">
      <w:lvl w:ilvl="0">
        <w:start w:val="1"/>
        <w:numFmt w:val="bullet"/>
        <w:pStyle w:val="Tiret1"/>
        <w:lvlText w:val=""/>
        <w:legacy w:legacy="1" w:legacySpace="0" w:legacyIndent="284"/>
        <w:lvlJc w:val="left"/>
        <w:pPr>
          <w:ind w:left="568" w:hanging="284"/>
        </w:pPr>
        <w:rPr>
          <w:rFonts w:ascii="Symbol" w:hAnsi="Symbol" w:hint="default"/>
        </w:rPr>
      </w:lvl>
    </w:lvlOverride>
  </w:num>
  <w:num w:numId="8">
    <w:abstractNumId w:val="17"/>
  </w:num>
  <w:num w:numId="9">
    <w:abstractNumId w:val="6"/>
  </w:num>
  <w:num w:numId="10">
    <w:abstractNumId w:val="13"/>
  </w:num>
  <w:num w:numId="11">
    <w:abstractNumId w:val="8"/>
  </w:num>
  <w:num w:numId="12">
    <w:abstractNumId w:val="22"/>
  </w:num>
  <w:num w:numId="13">
    <w:abstractNumId w:val="12"/>
  </w:num>
  <w:num w:numId="14">
    <w:abstractNumId w:val="20"/>
  </w:num>
  <w:num w:numId="15">
    <w:abstractNumId w:val="21"/>
  </w:num>
  <w:num w:numId="16">
    <w:abstractNumId w:val="7"/>
  </w:num>
  <w:num w:numId="17">
    <w:abstractNumId w:val="24"/>
  </w:num>
  <w:num w:numId="18">
    <w:abstractNumId w:val="9"/>
  </w:num>
  <w:num w:numId="19">
    <w:abstractNumId w:val="29"/>
  </w:num>
  <w:num w:numId="20">
    <w:abstractNumId w:val="18"/>
  </w:num>
  <w:num w:numId="21">
    <w:abstractNumId w:val="5"/>
  </w:num>
  <w:num w:numId="22">
    <w:abstractNumId w:val="10"/>
  </w:num>
  <w:num w:numId="23">
    <w:abstractNumId w:val="3"/>
  </w:num>
  <w:num w:numId="24">
    <w:abstractNumId w:val="15"/>
  </w:num>
  <w:num w:numId="25">
    <w:abstractNumId w:val="36"/>
  </w:num>
  <w:num w:numId="26">
    <w:abstractNumId w:val="31"/>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1"/>
  </w:num>
  <w:num w:numId="34">
    <w:abstractNumId w:val="1"/>
  </w:num>
  <w:num w:numId="35">
    <w:abstractNumId w:val="25"/>
  </w:num>
  <w:num w:numId="36">
    <w:abstractNumId w:val="30"/>
  </w:num>
  <w:num w:numId="37">
    <w:abstractNumId w:val="34"/>
  </w:num>
  <w:num w:numId="38">
    <w:abstractNumId w:val="14"/>
  </w:num>
  <w:num w:numId="39">
    <w:abstractNumId w:val="2"/>
  </w:num>
  <w:num w:numId="40">
    <w:abstractNumId w:val="26"/>
  </w:num>
  <w:num w:numId="41">
    <w:abstractNumId w:val="4"/>
  </w:num>
  <w:num w:numId="42">
    <w:abstractNumId w:val="19"/>
  </w:num>
  <w:num w:numId="4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31DB"/>
    <w:rsid w:val="0000324D"/>
    <w:rsid w:val="00003BDC"/>
    <w:rsid w:val="00003C20"/>
    <w:rsid w:val="00003C63"/>
    <w:rsid w:val="00006526"/>
    <w:rsid w:val="00013851"/>
    <w:rsid w:val="00015D31"/>
    <w:rsid w:val="00022149"/>
    <w:rsid w:val="00023319"/>
    <w:rsid w:val="00031399"/>
    <w:rsid w:val="00032B80"/>
    <w:rsid w:val="0003427D"/>
    <w:rsid w:val="00034DA1"/>
    <w:rsid w:val="00045A19"/>
    <w:rsid w:val="00046E62"/>
    <w:rsid w:val="000511A0"/>
    <w:rsid w:val="00053144"/>
    <w:rsid w:val="000537DC"/>
    <w:rsid w:val="000542E1"/>
    <w:rsid w:val="00057CBA"/>
    <w:rsid w:val="00061839"/>
    <w:rsid w:val="000648C5"/>
    <w:rsid w:val="00072145"/>
    <w:rsid w:val="000762CE"/>
    <w:rsid w:val="000774F0"/>
    <w:rsid w:val="0008280A"/>
    <w:rsid w:val="00083348"/>
    <w:rsid w:val="00083782"/>
    <w:rsid w:val="00083951"/>
    <w:rsid w:val="00086267"/>
    <w:rsid w:val="00086E02"/>
    <w:rsid w:val="00093459"/>
    <w:rsid w:val="00096ED4"/>
    <w:rsid w:val="00097A1D"/>
    <w:rsid w:val="000A0DAA"/>
    <w:rsid w:val="000A2ECA"/>
    <w:rsid w:val="000A3D58"/>
    <w:rsid w:val="000A62B5"/>
    <w:rsid w:val="000A6A0B"/>
    <w:rsid w:val="000A6C5F"/>
    <w:rsid w:val="000A7933"/>
    <w:rsid w:val="000B123F"/>
    <w:rsid w:val="000B19DC"/>
    <w:rsid w:val="000B7969"/>
    <w:rsid w:val="000C09A3"/>
    <w:rsid w:val="000C3EE9"/>
    <w:rsid w:val="000C6025"/>
    <w:rsid w:val="000C636F"/>
    <w:rsid w:val="000C6772"/>
    <w:rsid w:val="000D0223"/>
    <w:rsid w:val="000D335B"/>
    <w:rsid w:val="000D3F78"/>
    <w:rsid w:val="000D5857"/>
    <w:rsid w:val="000E02C4"/>
    <w:rsid w:val="000E0B06"/>
    <w:rsid w:val="000E153E"/>
    <w:rsid w:val="000E1CC0"/>
    <w:rsid w:val="000E4861"/>
    <w:rsid w:val="000E6DEC"/>
    <w:rsid w:val="000F2778"/>
    <w:rsid w:val="000F3E6D"/>
    <w:rsid w:val="000F5616"/>
    <w:rsid w:val="000F6580"/>
    <w:rsid w:val="000F6AED"/>
    <w:rsid w:val="000F7506"/>
    <w:rsid w:val="000F7994"/>
    <w:rsid w:val="0010114F"/>
    <w:rsid w:val="00103207"/>
    <w:rsid w:val="001041FB"/>
    <w:rsid w:val="001055E1"/>
    <w:rsid w:val="00105735"/>
    <w:rsid w:val="001108BA"/>
    <w:rsid w:val="00111616"/>
    <w:rsid w:val="00112147"/>
    <w:rsid w:val="00122860"/>
    <w:rsid w:val="0012794E"/>
    <w:rsid w:val="0013133A"/>
    <w:rsid w:val="00131F42"/>
    <w:rsid w:val="00133232"/>
    <w:rsid w:val="00136AF6"/>
    <w:rsid w:val="00152248"/>
    <w:rsid w:val="00153983"/>
    <w:rsid w:val="001546F4"/>
    <w:rsid w:val="00156B27"/>
    <w:rsid w:val="001571C5"/>
    <w:rsid w:val="00160FD2"/>
    <w:rsid w:val="00161FA0"/>
    <w:rsid w:val="00162367"/>
    <w:rsid w:val="00162D41"/>
    <w:rsid w:val="001632BA"/>
    <w:rsid w:val="0016707C"/>
    <w:rsid w:val="00167E76"/>
    <w:rsid w:val="00174479"/>
    <w:rsid w:val="00174CDB"/>
    <w:rsid w:val="00174E21"/>
    <w:rsid w:val="00175BFF"/>
    <w:rsid w:val="00176B14"/>
    <w:rsid w:val="001826D6"/>
    <w:rsid w:val="0018326A"/>
    <w:rsid w:val="00184EF1"/>
    <w:rsid w:val="0018517C"/>
    <w:rsid w:val="00186323"/>
    <w:rsid w:val="00191690"/>
    <w:rsid w:val="00194E9B"/>
    <w:rsid w:val="00195270"/>
    <w:rsid w:val="001A03E3"/>
    <w:rsid w:val="001A0EEE"/>
    <w:rsid w:val="001A2250"/>
    <w:rsid w:val="001A50B9"/>
    <w:rsid w:val="001A56F9"/>
    <w:rsid w:val="001B069B"/>
    <w:rsid w:val="001B28D8"/>
    <w:rsid w:val="001B4E67"/>
    <w:rsid w:val="001B5A23"/>
    <w:rsid w:val="001C0481"/>
    <w:rsid w:val="001C0722"/>
    <w:rsid w:val="001C205A"/>
    <w:rsid w:val="001C3A9E"/>
    <w:rsid w:val="001C564F"/>
    <w:rsid w:val="001C5A77"/>
    <w:rsid w:val="001C6153"/>
    <w:rsid w:val="001C730A"/>
    <w:rsid w:val="001D3311"/>
    <w:rsid w:val="001D6B58"/>
    <w:rsid w:val="001E2CBA"/>
    <w:rsid w:val="001E73CB"/>
    <w:rsid w:val="001E7E32"/>
    <w:rsid w:val="001F213D"/>
    <w:rsid w:val="001F4617"/>
    <w:rsid w:val="001F6043"/>
    <w:rsid w:val="00200E1A"/>
    <w:rsid w:val="00201599"/>
    <w:rsid w:val="00203BD8"/>
    <w:rsid w:val="0020754D"/>
    <w:rsid w:val="00212D18"/>
    <w:rsid w:val="00214F04"/>
    <w:rsid w:val="00215EC0"/>
    <w:rsid w:val="00231439"/>
    <w:rsid w:val="0023549B"/>
    <w:rsid w:val="002361D3"/>
    <w:rsid w:val="002364B5"/>
    <w:rsid w:val="0024038C"/>
    <w:rsid w:val="00241878"/>
    <w:rsid w:val="0024374B"/>
    <w:rsid w:val="00243E95"/>
    <w:rsid w:val="00243F79"/>
    <w:rsid w:val="00246A7C"/>
    <w:rsid w:val="002501DB"/>
    <w:rsid w:val="00251710"/>
    <w:rsid w:val="0025346A"/>
    <w:rsid w:val="00255149"/>
    <w:rsid w:val="00257D0E"/>
    <w:rsid w:val="0026020D"/>
    <w:rsid w:val="0026221D"/>
    <w:rsid w:val="00267FE0"/>
    <w:rsid w:val="0027184F"/>
    <w:rsid w:val="002729D5"/>
    <w:rsid w:val="00277AED"/>
    <w:rsid w:val="00283FCE"/>
    <w:rsid w:val="00285147"/>
    <w:rsid w:val="00285CD6"/>
    <w:rsid w:val="002862BD"/>
    <w:rsid w:val="00286631"/>
    <w:rsid w:val="00286D0F"/>
    <w:rsid w:val="002936E3"/>
    <w:rsid w:val="0029461F"/>
    <w:rsid w:val="002A78BC"/>
    <w:rsid w:val="002B186B"/>
    <w:rsid w:val="002B2952"/>
    <w:rsid w:val="002B2955"/>
    <w:rsid w:val="002B6B99"/>
    <w:rsid w:val="002C060C"/>
    <w:rsid w:val="002C0DED"/>
    <w:rsid w:val="002C40CE"/>
    <w:rsid w:val="002D0D87"/>
    <w:rsid w:val="002D0F1F"/>
    <w:rsid w:val="002D446D"/>
    <w:rsid w:val="002D4C07"/>
    <w:rsid w:val="002D75C1"/>
    <w:rsid w:val="002E1144"/>
    <w:rsid w:val="002E139A"/>
    <w:rsid w:val="002E19E4"/>
    <w:rsid w:val="002E651F"/>
    <w:rsid w:val="002F086A"/>
    <w:rsid w:val="002F2CF9"/>
    <w:rsid w:val="002F3146"/>
    <w:rsid w:val="00300D48"/>
    <w:rsid w:val="00303DBC"/>
    <w:rsid w:val="003040A5"/>
    <w:rsid w:val="00304EDC"/>
    <w:rsid w:val="00305ED2"/>
    <w:rsid w:val="00306CC2"/>
    <w:rsid w:val="00310A79"/>
    <w:rsid w:val="00311F5C"/>
    <w:rsid w:val="00312E1B"/>
    <w:rsid w:val="003174F5"/>
    <w:rsid w:val="00317F06"/>
    <w:rsid w:val="00320AAE"/>
    <w:rsid w:val="00321666"/>
    <w:rsid w:val="0032356C"/>
    <w:rsid w:val="00324FDD"/>
    <w:rsid w:val="0032742E"/>
    <w:rsid w:val="00327989"/>
    <w:rsid w:val="00327DAB"/>
    <w:rsid w:val="00330962"/>
    <w:rsid w:val="00336D64"/>
    <w:rsid w:val="00340141"/>
    <w:rsid w:val="00341046"/>
    <w:rsid w:val="00342957"/>
    <w:rsid w:val="00346C33"/>
    <w:rsid w:val="00350008"/>
    <w:rsid w:val="00351166"/>
    <w:rsid w:val="00352174"/>
    <w:rsid w:val="0035342D"/>
    <w:rsid w:val="0035393B"/>
    <w:rsid w:val="00354611"/>
    <w:rsid w:val="00355DFF"/>
    <w:rsid w:val="00355EF8"/>
    <w:rsid w:val="00360B8E"/>
    <w:rsid w:val="003628DF"/>
    <w:rsid w:val="003662C4"/>
    <w:rsid w:val="00366B1B"/>
    <w:rsid w:val="00367745"/>
    <w:rsid w:val="00371451"/>
    <w:rsid w:val="0037147F"/>
    <w:rsid w:val="00374FAB"/>
    <w:rsid w:val="00377A0B"/>
    <w:rsid w:val="0038227B"/>
    <w:rsid w:val="00385307"/>
    <w:rsid w:val="00385FAD"/>
    <w:rsid w:val="00386842"/>
    <w:rsid w:val="003926F5"/>
    <w:rsid w:val="003957B9"/>
    <w:rsid w:val="003961CC"/>
    <w:rsid w:val="00397A80"/>
    <w:rsid w:val="003A088B"/>
    <w:rsid w:val="003A1AE6"/>
    <w:rsid w:val="003A39B9"/>
    <w:rsid w:val="003A43A9"/>
    <w:rsid w:val="003A570A"/>
    <w:rsid w:val="003B04E8"/>
    <w:rsid w:val="003B206B"/>
    <w:rsid w:val="003B6075"/>
    <w:rsid w:val="003C0C73"/>
    <w:rsid w:val="003C4E1A"/>
    <w:rsid w:val="003C55E0"/>
    <w:rsid w:val="003C670A"/>
    <w:rsid w:val="003D2086"/>
    <w:rsid w:val="003D36C9"/>
    <w:rsid w:val="003D3CDC"/>
    <w:rsid w:val="003D4D5D"/>
    <w:rsid w:val="003D641E"/>
    <w:rsid w:val="003E6D3A"/>
    <w:rsid w:val="003F04FC"/>
    <w:rsid w:val="003F3865"/>
    <w:rsid w:val="003F66C2"/>
    <w:rsid w:val="003F69C3"/>
    <w:rsid w:val="003F720D"/>
    <w:rsid w:val="0040014A"/>
    <w:rsid w:val="004006F4"/>
    <w:rsid w:val="00405B86"/>
    <w:rsid w:val="004061D6"/>
    <w:rsid w:val="00412062"/>
    <w:rsid w:val="00412163"/>
    <w:rsid w:val="004123CF"/>
    <w:rsid w:val="00412D31"/>
    <w:rsid w:val="00412EB7"/>
    <w:rsid w:val="00415A88"/>
    <w:rsid w:val="00420B9A"/>
    <w:rsid w:val="0042223D"/>
    <w:rsid w:val="004226AF"/>
    <w:rsid w:val="00425B4F"/>
    <w:rsid w:val="004318EB"/>
    <w:rsid w:val="00432C73"/>
    <w:rsid w:val="004531CA"/>
    <w:rsid w:val="00454982"/>
    <w:rsid w:val="00455DFE"/>
    <w:rsid w:val="00456A83"/>
    <w:rsid w:val="00456C5B"/>
    <w:rsid w:val="00456E49"/>
    <w:rsid w:val="0046475E"/>
    <w:rsid w:val="00471AD9"/>
    <w:rsid w:val="004726AC"/>
    <w:rsid w:val="004730B4"/>
    <w:rsid w:val="004735BC"/>
    <w:rsid w:val="00474D0C"/>
    <w:rsid w:val="00477486"/>
    <w:rsid w:val="00482800"/>
    <w:rsid w:val="00482E0A"/>
    <w:rsid w:val="0048380A"/>
    <w:rsid w:val="004926C9"/>
    <w:rsid w:val="00493459"/>
    <w:rsid w:val="0049355E"/>
    <w:rsid w:val="004946FB"/>
    <w:rsid w:val="004A09D2"/>
    <w:rsid w:val="004A3041"/>
    <w:rsid w:val="004A4774"/>
    <w:rsid w:val="004A4EE9"/>
    <w:rsid w:val="004A7162"/>
    <w:rsid w:val="004B58F8"/>
    <w:rsid w:val="004C15D7"/>
    <w:rsid w:val="004C36BA"/>
    <w:rsid w:val="004C41D5"/>
    <w:rsid w:val="004C4F4E"/>
    <w:rsid w:val="004E2202"/>
    <w:rsid w:val="004E314E"/>
    <w:rsid w:val="004E3E8F"/>
    <w:rsid w:val="004F08BD"/>
    <w:rsid w:val="004F1CA5"/>
    <w:rsid w:val="004F3618"/>
    <w:rsid w:val="004F40DA"/>
    <w:rsid w:val="004F5166"/>
    <w:rsid w:val="004F6B44"/>
    <w:rsid w:val="00501067"/>
    <w:rsid w:val="00502965"/>
    <w:rsid w:val="0050464D"/>
    <w:rsid w:val="0051148A"/>
    <w:rsid w:val="00512771"/>
    <w:rsid w:val="00515366"/>
    <w:rsid w:val="00516EC0"/>
    <w:rsid w:val="00521CA2"/>
    <w:rsid w:val="005230DB"/>
    <w:rsid w:val="00524AD6"/>
    <w:rsid w:val="00531A9B"/>
    <w:rsid w:val="00534D01"/>
    <w:rsid w:val="00536086"/>
    <w:rsid w:val="00541C3C"/>
    <w:rsid w:val="005423EE"/>
    <w:rsid w:val="0054256C"/>
    <w:rsid w:val="00542708"/>
    <w:rsid w:val="00546278"/>
    <w:rsid w:val="005468F1"/>
    <w:rsid w:val="00547140"/>
    <w:rsid w:val="00552018"/>
    <w:rsid w:val="00552993"/>
    <w:rsid w:val="005577C3"/>
    <w:rsid w:val="0056129C"/>
    <w:rsid w:val="00563B64"/>
    <w:rsid w:val="00564C26"/>
    <w:rsid w:val="005657F5"/>
    <w:rsid w:val="0057045A"/>
    <w:rsid w:val="00571E74"/>
    <w:rsid w:val="00574FD2"/>
    <w:rsid w:val="00583F9D"/>
    <w:rsid w:val="005844DF"/>
    <w:rsid w:val="00585069"/>
    <w:rsid w:val="0058541D"/>
    <w:rsid w:val="00586673"/>
    <w:rsid w:val="00586908"/>
    <w:rsid w:val="00586D25"/>
    <w:rsid w:val="00593F80"/>
    <w:rsid w:val="005A068D"/>
    <w:rsid w:val="005A18D9"/>
    <w:rsid w:val="005A3C9E"/>
    <w:rsid w:val="005A55B6"/>
    <w:rsid w:val="005A7502"/>
    <w:rsid w:val="005B0583"/>
    <w:rsid w:val="005B1CE1"/>
    <w:rsid w:val="005C2332"/>
    <w:rsid w:val="005C51D5"/>
    <w:rsid w:val="005C78C8"/>
    <w:rsid w:val="005D1089"/>
    <w:rsid w:val="005D256F"/>
    <w:rsid w:val="005D3BE9"/>
    <w:rsid w:val="005D4785"/>
    <w:rsid w:val="005D5016"/>
    <w:rsid w:val="005D5F65"/>
    <w:rsid w:val="005D7DBF"/>
    <w:rsid w:val="005E00D4"/>
    <w:rsid w:val="005E00EC"/>
    <w:rsid w:val="005E38D8"/>
    <w:rsid w:val="005E3AF0"/>
    <w:rsid w:val="005E3F4A"/>
    <w:rsid w:val="005E42D6"/>
    <w:rsid w:val="005E632F"/>
    <w:rsid w:val="005E7D96"/>
    <w:rsid w:val="005F172E"/>
    <w:rsid w:val="005F5BF1"/>
    <w:rsid w:val="005F6D57"/>
    <w:rsid w:val="00600FE8"/>
    <w:rsid w:val="00602484"/>
    <w:rsid w:val="00603615"/>
    <w:rsid w:val="00603B0E"/>
    <w:rsid w:val="006073E5"/>
    <w:rsid w:val="00607864"/>
    <w:rsid w:val="00610A57"/>
    <w:rsid w:val="0061146B"/>
    <w:rsid w:val="0061298B"/>
    <w:rsid w:val="00613497"/>
    <w:rsid w:val="0061361F"/>
    <w:rsid w:val="006150AA"/>
    <w:rsid w:val="006228FD"/>
    <w:rsid w:val="00625522"/>
    <w:rsid w:val="00625F08"/>
    <w:rsid w:val="00630631"/>
    <w:rsid w:val="00632341"/>
    <w:rsid w:val="006377D5"/>
    <w:rsid w:val="0064444B"/>
    <w:rsid w:val="006512C8"/>
    <w:rsid w:val="00651CC5"/>
    <w:rsid w:val="00656971"/>
    <w:rsid w:val="00657C56"/>
    <w:rsid w:val="00665871"/>
    <w:rsid w:val="0066640E"/>
    <w:rsid w:val="00670AA8"/>
    <w:rsid w:val="006715AC"/>
    <w:rsid w:val="006754AE"/>
    <w:rsid w:val="00676A86"/>
    <w:rsid w:val="00676C9E"/>
    <w:rsid w:val="00677D22"/>
    <w:rsid w:val="00681271"/>
    <w:rsid w:val="00681A11"/>
    <w:rsid w:val="00686CBE"/>
    <w:rsid w:val="0068707C"/>
    <w:rsid w:val="00690C52"/>
    <w:rsid w:val="00692F49"/>
    <w:rsid w:val="00697F35"/>
    <w:rsid w:val="006A021D"/>
    <w:rsid w:val="006A2C48"/>
    <w:rsid w:val="006A3107"/>
    <w:rsid w:val="006A4A5D"/>
    <w:rsid w:val="006A6D24"/>
    <w:rsid w:val="006B5D26"/>
    <w:rsid w:val="006C24B8"/>
    <w:rsid w:val="006C2D4C"/>
    <w:rsid w:val="006D12B2"/>
    <w:rsid w:val="006D158B"/>
    <w:rsid w:val="006D26A8"/>
    <w:rsid w:val="006D3B84"/>
    <w:rsid w:val="006D4CFA"/>
    <w:rsid w:val="006D5A85"/>
    <w:rsid w:val="006D6F0A"/>
    <w:rsid w:val="006D798A"/>
    <w:rsid w:val="006E3238"/>
    <w:rsid w:val="006E7878"/>
    <w:rsid w:val="006F3324"/>
    <w:rsid w:val="006F40B4"/>
    <w:rsid w:val="0070278F"/>
    <w:rsid w:val="00704FDE"/>
    <w:rsid w:val="00706315"/>
    <w:rsid w:val="00714819"/>
    <w:rsid w:val="007250D2"/>
    <w:rsid w:val="00725E78"/>
    <w:rsid w:val="007272BD"/>
    <w:rsid w:val="007278F9"/>
    <w:rsid w:val="00732267"/>
    <w:rsid w:val="00732926"/>
    <w:rsid w:val="00735947"/>
    <w:rsid w:val="00736DF3"/>
    <w:rsid w:val="0073713B"/>
    <w:rsid w:val="007409C4"/>
    <w:rsid w:val="00743198"/>
    <w:rsid w:val="00745A69"/>
    <w:rsid w:val="00746EE5"/>
    <w:rsid w:val="00750BC4"/>
    <w:rsid w:val="0075308C"/>
    <w:rsid w:val="00754CD3"/>
    <w:rsid w:val="0075771B"/>
    <w:rsid w:val="00757B9D"/>
    <w:rsid w:val="00761E67"/>
    <w:rsid w:val="0076250D"/>
    <w:rsid w:val="007631A7"/>
    <w:rsid w:val="00771BFD"/>
    <w:rsid w:val="00775803"/>
    <w:rsid w:val="00775C1A"/>
    <w:rsid w:val="00782E6B"/>
    <w:rsid w:val="007904F0"/>
    <w:rsid w:val="00791DC5"/>
    <w:rsid w:val="00792050"/>
    <w:rsid w:val="0079485D"/>
    <w:rsid w:val="007A3C7A"/>
    <w:rsid w:val="007A483D"/>
    <w:rsid w:val="007A6EDE"/>
    <w:rsid w:val="007B2255"/>
    <w:rsid w:val="007B412B"/>
    <w:rsid w:val="007B5386"/>
    <w:rsid w:val="007C1673"/>
    <w:rsid w:val="007C58E8"/>
    <w:rsid w:val="007D6390"/>
    <w:rsid w:val="007E3B6C"/>
    <w:rsid w:val="007E501F"/>
    <w:rsid w:val="007E585A"/>
    <w:rsid w:val="007E7576"/>
    <w:rsid w:val="007F07FC"/>
    <w:rsid w:val="007F13BA"/>
    <w:rsid w:val="007F1CFC"/>
    <w:rsid w:val="00800224"/>
    <w:rsid w:val="008003DF"/>
    <w:rsid w:val="00816E3D"/>
    <w:rsid w:val="0081720C"/>
    <w:rsid w:val="0081799B"/>
    <w:rsid w:val="008223F0"/>
    <w:rsid w:val="00822A07"/>
    <w:rsid w:val="00823D73"/>
    <w:rsid w:val="0083255B"/>
    <w:rsid w:val="00833DD1"/>
    <w:rsid w:val="00834559"/>
    <w:rsid w:val="008350D4"/>
    <w:rsid w:val="0083565B"/>
    <w:rsid w:val="008366DC"/>
    <w:rsid w:val="008371DB"/>
    <w:rsid w:val="00837658"/>
    <w:rsid w:val="00843592"/>
    <w:rsid w:val="00844AA9"/>
    <w:rsid w:val="008468ED"/>
    <w:rsid w:val="00847417"/>
    <w:rsid w:val="00850DC1"/>
    <w:rsid w:val="008533C3"/>
    <w:rsid w:val="00854CEA"/>
    <w:rsid w:val="00854D6E"/>
    <w:rsid w:val="00860E4C"/>
    <w:rsid w:val="00865300"/>
    <w:rsid w:val="0086700A"/>
    <w:rsid w:val="0086723A"/>
    <w:rsid w:val="008745EC"/>
    <w:rsid w:val="0087480B"/>
    <w:rsid w:val="00874895"/>
    <w:rsid w:val="00874DFF"/>
    <w:rsid w:val="00875868"/>
    <w:rsid w:val="0087653A"/>
    <w:rsid w:val="008765A4"/>
    <w:rsid w:val="00876A78"/>
    <w:rsid w:val="0088141A"/>
    <w:rsid w:val="00882F24"/>
    <w:rsid w:val="00884D11"/>
    <w:rsid w:val="0088557E"/>
    <w:rsid w:val="00892ECD"/>
    <w:rsid w:val="00895E83"/>
    <w:rsid w:val="00896161"/>
    <w:rsid w:val="008966A8"/>
    <w:rsid w:val="008A4445"/>
    <w:rsid w:val="008A4E75"/>
    <w:rsid w:val="008A6BB9"/>
    <w:rsid w:val="008B0309"/>
    <w:rsid w:val="008B08BF"/>
    <w:rsid w:val="008B6690"/>
    <w:rsid w:val="008C19EC"/>
    <w:rsid w:val="008C3033"/>
    <w:rsid w:val="008C444B"/>
    <w:rsid w:val="008C5AC7"/>
    <w:rsid w:val="008D3DA6"/>
    <w:rsid w:val="008D4818"/>
    <w:rsid w:val="008D6D76"/>
    <w:rsid w:val="008E103E"/>
    <w:rsid w:val="008E2566"/>
    <w:rsid w:val="008E25F9"/>
    <w:rsid w:val="008E3EB8"/>
    <w:rsid w:val="008E4DB9"/>
    <w:rsid w:val="008E680A"/>
    <w:rsid w:val="008F0788"/>
    <w:rsid w:val="008F3E02"/>
    <w:rsid w:val="008F4191"/>
    <w:rsid w:val="008F5379"/>
    <w:rsid w:val="008F5918"/>
    <w:rsid w:val="0090007F"/>
    <w:rsid w:val="00901BAD"/>
    <w:rsid w:val="00903339"/>
    <w:rsid w:val="00903A79"/>
    <w:rsid w:val="00904A82"/>
    <w:rsid w:val="009056F8"/>
    <w:rsid w:val="009061EE"/>
    <w:rsid w:val="00911C16"/>
    <w:rsid w:val="00911E65"/>
    <w:rsid w:val="0092014C"/>
    <w:rsid w:val="0092684D"/>
    <w:rsid w:val="00926B91"/>
    <w:rsid w:val="0093586E"/>
    <w:rsid w:val="00935DC3"/>
    <w:rsid w:val="009378B6"/>
    <w:rsid w:val="00942735"/>
    <w:rsid w:val="0094492C"/>
    <w:rsid w:val="00945EFC"/>
    <w:rsid w:val="00947832"/>
    <w:rsid w:val="0095122A"/>
    <w:rsid w:val="0095607B"/>
    <w:rsid w:val="009563DB"/>
    <w:rsid w:val="009600BE"/>
    <w:rsid w:val="0096115F"/>
    <w:rsid w:val="00963DFF"/>
    <w:rsid w:val="00964D20"/>
    <w:rsid w:val="00965E92"/>
    <w:rsid w:val="00966469"/>
    <w:rsid w:val="00966D05"/>
    <w:rsid w:val="0097153F"/>
    <w:rsid w:val="00971825"/>
    <w:rsid w:val="00971B34"/>
    <w:rsid w:val="00971F45"/>
    <w:rsid w:val="00972500"/>
    <w:rsid w:val="0097254C"/>
    <w:rsid w:val="00972B08"/>
    <w:rsid w:val="00972C03"/>
    <w:rsid w:val="00973FE3"/>
    <w:rsid w:val="0097470F"/>
    <w:rsid w:val="00974880"/>
    <w:rsid w:val="009748BE"/>
    <w:rsid w:val="00974A31"/>
    <w:rsid w:val="00982ADA"/>
    <w:rsid w:val="00983096"/>
    <w:rsid w:val="00986681"/>
    <w:rsid w:val="0099310B"/>
    <w:rsid w:val="009949CF"/>
    <w:rsid w:val="009955AA"/>
    <w:rsid w:val="009A24B1"/>
    <w:rsid w:val="009A574F"/>
    <w:rsid w:val="009A6560"/>
    <w:rsid w:val="009B0709"/>
    <w:rsid w:val="009B0B58"/>
    <w:rsid w:val="009B1874"/>
    <w:rsid w:val="009B43C5"/>
    <w:rsid w:val="009B5151"/>
    <w:rsid w:val="009C2084"/>
    <w:rsid w:val="009C2FCB"/>
    <w:rsid w:val="009C4718"/>
    <w:rsid w:val="009C4B44"/>
    <w:rsid w:val="009C4E3C"/>
    <w:rsid w:val="009D1D5C"/>
    <w:rsid w:val="009D27FE"/>
    <w:rsid w:val="009D3DD3"/>
    <w:rsid w:val="009E148B"/>
    <w:rsid w:val="009E43F0"/>
    <w:rsid w:val="009E731E"/>
    <w:rsid w:val="009F0863"/>
    <w:rsid w:val="009F32B7"/>
    <w:rsid w:val="009F4187"/>
    <w:rsid w:val="009F4EB1"/>
    <w:rsid w:val="00A00016"/>
    <w:rsid w:val="00A00386"/>
    <w:rsid w:val="00A0140D"/>
    <w:rsid w:val="00A03424"/>
    <w:rsid w:val="00A03877"/>
    <w:rsid w:val="00A06700"/>
    <w:rsid w:val="00A11C26"/>
    <w:rsid w:val="00A1461F"/>
    <w:rsid w:val="00A149B5"/>
    <w:rsid w:val="00A14BEA"/>
    <w:rsid w:val="00A17320"/>
    <w:rsid w:val="00A224A3"/>
    <w:rsid w:val="00A277B4"/>
    <w:rsid w:val="00A30444"/>
    <w:rsid w:val="00A36258"/>
    <w:rsid w:val="00A3670A"/>
    <w:rsid w:val="00A4043E"/>
    <w:rsid w:val="00A43B49"/>
    <w:rsid w:val="00A43E67"/>
    <w:rsid w:val="00A45231"/>
    <w:rsid w:val="00A45517"/>
    <w:rsid w:val="00A47563"/>
    <w:rsid w:val="00A504D5"/>
    <w:rsid w:val="00A51C43"/>
    <w:rsid w:val="00A52A17"/>
    <w:rsid w:val="00A57008"/>
    <w:rsid w:val="00A62A20"/>
    <w:rsid w:val="00A64A77"/>
    <w:rsid w:val="00A6566C"/>
    <w:rsid w:val="00A65BC8"/>
    <w:rsid w:val="00A861B7"/>
    <w:rsid w:val="00A8668C"/>
    <w:rsid w:val="00A86F9B"/>
    <w:rsid w:val="00A87FAB"/>
    <w:rsid w:val="00A92C49"/>
    <w:rsid w:val="00AA0870"/>
    <w:rsid w:val="00AA2953"/>
    <w:rsid w:val="00AA77EC"/>
    <w:rsid w:val="00AB0500"/>
    <w:rsid w:val="00AB26D7"/>
    <w:rsid w:val="00AB6648"/>
    <w:rsid w:val="00AC111A"/>
    <w:rsid w:val="00AC1FD2"/>
    <w:rsid w:val="00AC3298"/>
    <w:rsid w:val="00AC4532"/>
    <w:rsid w:val="00AC58A7"/>
    <w:rsid w:val="00AD07F4"/>
    <w:rsid w:val="00AD13CC"/>
    <w:rsid w:val="00AD23B0"/>
    <w:rsid w:val="00AD5F41"/>
    <w:rsid w:val="00AE26D8"/>
    <w:rsid w:val="00AE53DE"/>
    <w:rsid w:val="00AE67CE"/>
    <w:rsid w:val="00AF7628"/>
    <w:rsid w:val="00B038C3"/>
    <w:rsid w:val="00B04E09"/>
    <w:rsid w:val="00B06A46"/>
    <w:rsid w:val="00B07187"/>
    <w:rsid w:val="00B12D3C"/>
    <w:rsid w:val="00B140D7"/>
    <w:rsid w:val="00B14307"/>
    <w:rsid w:val="00B16A62"/>
    <w:rsid w:val="00B202E1"/>
    <w:rsid w:val="00B20D34"/>
    <w:rsid w:val="00B32CB7"/>
    <w:rsid w:val="00B33A48"/>
    <w:rsid w:val="00B36DCB"/>
    <w:rsid w:val="00B36F21"/>
    <w:rsid w:val="00B419BE"/>
    <w:rsid w:val="00B429F1"/>
    <w:rsid w:val="00B436AC"/>
    <w:rsid w:val="00B44AA4"/>
    <w:rsid w:val="00B5069E"/>
    <w:rsid w:val="00B52D43"/>
    <w:rsid w:val="00B54250"/>
    <w:rsid w:val="00B55678"/>
    <w:rsid w:val="00B558C6"/>
    <w:rsid w:val="00B57E66"/>
    <w:rsid w:val="00B60165"/>
    <w:rsid w:val="00B616B4"/>
    <w:rsid w:val="00B67E65"/>
    <w:rsid w:val="00B71456"/>
    <w:rsid w:val="00B71F6D"/>
    <w:rsid w:val="00B725A1"/>
    <w:rsid w:val="00B7306D"/>
    <w:rsid w:val="00B74FDC"/>
    <w:rsid w:val="00B75DB2"/>
    <w:rsid w:val="00B81C32"/>
    <w:rsid w:val="00B848B7"/>
    <w:rsid w:val="00B856EC"/>
    <w:rsid w:val="00B870A3"/>
    <w:rsid w:val="00B90A1C"/>
    <w:rsid w:val="00B913A0"/>
    <w:rsid w:val="00B93967"/>
    <w:rsid w:val="00BA160C"/>
    <w:rsid w:val="00BA24E2"/>
    <w:rsid w:val="00BB0105"/>
    <w:rsid w:val="00BB028D"/>
    <w:rsid w:val="00BB11CA"/>
    <w:rsid w:val="00BB3C13"/>
    <w:rsid w:val="00BC1D25"/>
    <w:rsid w:val="00BC70FA"/>
    <w:rsid w:val="00BD256C"/>
    <w:rsid w:val="00BD4B5D"/>
    <w:rsid w:val="00BD5599"/>
    <w:rsid w:val="00BE236F"/>
    <w:rsid w:val="00BE3AB9"/>
    <w:rsid w:val="00BE50F2"/>
    <w:rsid w:val="00BE629B"/>
    <w:rsid w:val="00BF1024"/>
    <w:rsid w:val="00BF16FE"/>
    <w:rsid w:val="00BF4D90"/>
    <w:rsid w:val="00BF68DC"/>
    <w:rsid w:val="00BF6E7E"/>
    <w:rsid w:val="00BF73F2"/>
    <w:rsid w:val="00BF75B7"/>
    <w:rsid w:val="00C02516"/>
    <w:rsid w:val="00C06443"/>
    <w:rsid w:val="00C066F0"/>
    <w:rsid w:val="00C07B6A"/>
    <w:rsid w:val="00C17514"/>
    <w:rsid w:val="00C326EE"/>
    <w:rsid w:val="00C3544F"/>
    <w:rsid w:val="00C372DD"/>
    <w:rsid w:val="00C40187"/>
    <w:rsid w:val="00C41270"/>
    <w:rsid w:val="00C42AB8"/>
    <w:rsid w:val="00C4444E"/>
    <w:rsid w:val="00C4695F"/>
    <w:rsid w:val="00C46D63"/>
    <w:rsid w:val="00C54129"/>
    <w:rsid w:val="00C57AC3"/>
    <w:rsid w:val="00C60EE9"/>
    <w:rsid w:val="00C6105E"/>
    <w:rsid w:val="00C66E79"/>
    <w:rsid w:val="00C70EC3"/>
    <w:rsid w:val="00C71594"/>
    <w:rsid w:val="00C7300A"/>
    <w:rsid w:val="00C73C88"/>
    <w:rsid w:val="00C7548A"/>
    <w:rsid w:val="00C81018"/>
    <w:rsid w:val="00C83C9E"/>
    <w:rsid w:val="00C8479B"/>
    <w:rsid w:val="00C849CA"/>
    <w:rsid w:val="00C858E4"/>
    <w:rsid w:val="00C87D4A"/>
    <w:rsid w:val="00C914E8"/>
    <w:rsid w:val="00CA3EF3"/>
    <w:rsid w:val="00CA40C7"/>
    <w:rsid w:val="00CA4770"/>
    <w:rsid w:val="00CA6891"/>
    <w:rsid w:val="00CA71E7"/>
    <w:rsid w:val="00CA78CE"/>
    <w:rsid w:val="00CA7F61"/>
    <w:rsid w:val="00CB041D"/>
    <w:rsid w:val="00CB1E9B"/>
    <w:rsid w:val="00CB2B38"/>
    <w:rsid w:val="00CB39BD"/>
    <w:rsid w:val="00CB4131"/>
    <w:rsid w:val="00CB46F0"/>
    <w:rsid w:val="00CC0007"/>
    <w:rsid w:val="00CC3761"/>
    <w:rsid w:val="00CC540B"/>
    <w:rsid w:val="00CC6AFC"/>
    <w:rsid w:val="00CD007F"/>
    <w:rsid w:val="00CD11EB"/>
    <w:rsid w:val="00CD1CAC"/>
    <w:rsid w:val="00CD2F9D"/>
    <w:rsid w:val="00CD502D"/>
    <w:rsid w:val="00CD7C3F"/>
    <w:rsid w:val="00CE0E69"/>
    <w:rsid w:val="00CE3556"/>
    <w:rsid w:val="00CE3A1E"/>
    <w:rsid w:val="00CE627B"/>
    <w:rsid w:val="00CE6B43"/>
    <w:rsid w:val="00CF0DC5"/>
    <w:rsid w:val="00CF12A4"/>
    <w:rsid w:val="00CF6996"/>
    <w:rsid w:val="00D01BF0"/>
    <w:rsid w:val="00D03AB8"/>
    <w:rsid w:val="00D03C59"/>
    <w:rsid w:val="00D04BAD"/>
    <w:rsid w:val="00D05137"/>
    <w:rsid w:val="00D06089"/>
    <w:rsid w:val="00D07075"/>
    <w:rsid w:val="00D07615"/>
    <w:rsid w:val="00D07CE1"/>
    <w:rsid w:val="00D11270"/>
    <w:rsid w:val="00D114BE"/>
    <w:rsid w:val="00D139F7"/>
    <w:rsid w:val="00D166AE"/>
    <w:rsid w:val="00D17C63"/>
    <w:rsid w:val="00D219E0"/>
    <w:rsid w:val="00D21AC3"/>
    <w:rsid w:val="00D2255D"/>
    <w:rsid w:val="00D22E1D"/>
    <w:rsid w:val="00D25A7D"/>
    <w:rsid w:val="00D26541"/>
    <w:rsid w:val="00D269F9"/>
    <w:rsid w:val="00D30EC1"/>
    <w:rsid w:val="00D351AE"/>
    <w:rsid w:val="00D35E7D"/>
    <w:rsid w:val="00D36A60"/>
    <w:rsid w:val="00D44612"/>
    <w:rsid w:val="00D44E84"/>
    <w:rsid w:val="00D456B1"/>
    <w:rsid w:val="00D45B9B"/>
    <w:rsid w:val="00D478B9"/>
    <w:rsid w:val="00D50608"/>
    <w:rsid w:val="00D60065"/>
    <w:rsid w:val="00D60161"/>
    <w:rsid w:val="00D61A8B"/>
    <w:rsid w:val="00D647F0"/>
    <w:rsid w:val="00D67554"/>
    <w:rsid w:val="00D72803"/>
    <w:rsid w:val="00D74918"/>
    <w:rsid w:val="00D77C81"/>
    <w:rsid w:val="00D82443"/>
    <w:rsid w:val="00D85A77"/>
    <w:rsid w:val="00D8764F"/>
    <w:rsid w:val="00D904AA"/>
    <w:rsid w:val="00D90A5A"/>
    <w:rsid w:val="00D9105C"/>
    <w:rsid w:val="00D91C45"/>
    <w:rsid w:val="00D937BE"/>
    <w:rsid w:val="00DA12E4"/>
    <w:rsid w:val="00DA1752"/>
    <w:rsid w:val="00DA1EDC"/>
    <w:rsid w:val="00DA5F8D"/>
    <w:rsid w:val="00DA7175"/>
    <w:rsid w:val="00DA7FFB"/>
    <w:rsid w:val="00DB023A"/>
    <w:rsid w:val="00DB43E4"/>
    <w:rsid w:val="00DB5012"/>
    <w:rsid w:val="00DB6085"/>
    <w:rsid w:val="00DC186B"/>
    <w:rsid w:val="00DC2A71"/>
    <w:rsid w:val="00DC2D43"/>
    <w:rsid w:val="00DC5FD9"/>
    <w:rsid w:val="00DC6885"/>
    <w:rsid w:val="00DC7115"/>
    <w:rsid w:val="00DC76B9"/>
    <w:rsid w:val="00DD4187"/>
    <w:rsid w:val="00DE77B4"/>
    <w:rsid w:val="00DE7A6A"/>
    <w:rsid w:val="00DF5551"/>
    <w:rsid w:val="00DF638B"/>
    <w:rsid w:val="00E0466C"/>
    <w:rsid w:val="00E04C1E"/>
    <w:rsid w:val="00E04EE3"/>
    <w:rsid w:val="00E055C3"/>
    <w:rsid w:val="00E128AA"/>
    <w:rsid w:val="00E170A9"/>
    <w:rsid w:val="00E22797"/>
    <w:rsid w:val="00E2504B"/>
    <w:rsid w:val="00E267D9"/>
    <w:rsid w:val="00E27958"/>
    <w:rsid w:val="00E337EE"/>
    <w:rsid w:val="00E346FE"/>
    <w:rsid w:val="00E34CDE"/>
    <w:rsid w:val="00E366DB"/>
    <w:rsid w:val="00E37493"/>
    <w:rsid w:val="00E3752B"/>
    <w:rsid w:val="00E41A23"/>
    <w:rsid w:val="00E42912"/>
    <w:rsid w:val="00E45B56"/>
    <w:rsid w:val="00E45E6B"/>
    <w:rsid w:val="00E46CF7"/>
    <w:rsid w:val="00E60817"/>
    <w:rsid w:val="00E60A84"/>
    <w:rsid w:val="00E612E0"/>
    <w:rsid w:val="00E628B3"/>
    <w:rsid w:val="00E6310B"/>
    <w:rsid w:val="00E6433D"/>
    <w:rsid w:val="00E643AD"/>
    <w:rsid w:val="00E71370"/>
    <w:rsid w:val="00E71AA0"/>
    <w:rsid w:val="00E7283E"/>
    <w:rsid w:val="00E73B45"/>
    <w:rsid w:val="00E83075"/>
    <w:rsid w:val="00E84BD4"/>
    <w:rsid w:val="00E85775"/>
    <w:rsid w:val="00E92C0D"/>
    <w:rsid w:val="00E955D7"/>
    <w:rsid w:val="00E9591F"/>
    <w:rsid w:val="00E96CD1"/>
    <w:rsid w:val="00E96F9E"/>
    <w:rsid w:val="00E96FD4"/>
    <w:rsid w:val="00E97892"/>
    <w:rsid w:val="00EA0197"/>
    <w:rsid w:val="00EA3F80"/>
    <w:rsid w:val="00EA7B1E"/>
    <w:rsid w:val="00EB0454"/>
    <w:rsid w:val="00EB1B2C"/>
    <w:rsid w:val="00EB2370"/>
    <w:rsid w:val="00EB3138"/>
    <w:rsid w:val="00EC01B0"/>
    <w:rsid w:val="00ED2C67"/>
    <w:rsid w:val="00ED3AA1"/>
    <w:rsid w:val="00ED4992"/>
    <w:rsid w:val="00ED6658"/>
    <w:rsid w:val="00ED6EA4"/>
    <w:rsid w:val="00ED7103"/>
    <w:rsid w:val="00ED79E4"/>
    <w:rsid w:val="00EF00EC"/>
    <w:rsid w:val="00EF124B"/>
    <w:rsid w:val="00EF2EC4"/>
    <w:rsid w:val="00EF54B8"/>
    <w:rsid w:val="00EF58B7"/>
    <w:rsid w:val="00EF65AE"/>
    <w:rsid w:val="00EF7408"/>
    <w:rsid w:val="00F01016"/>
    <w:rsid w:val="00F10C00"/>
    <w:rsid w:val="00F167C6"/>
    <w:rsid w:val="00F171EE"/>
    <w:rsid w:val="00F20451"/>
    <w:rsid w:val="00F20B77"/>
    <w:rsid w:val="00F24A3B"/>
    <w:rsid w:val="00F25DA3"/>
    <w:rsid w:val="00F26590"/>
    <w:rsid w:val="00F324F8"/>
    <w:rsid w:val="00F3303A"/>
    <w:rsid w:val="00F346D9"/>
    <w:rsid w:val="00F355CC"/>
    <w:rsid w:val="00F374D8"/>
    <w:rsid w:val="00F40259"/>
    <w:rsid w:val="00F40BB9"/>
    <w:rsid w:val="00F42C49"/>
    <w:rsid w:val="00F44CDE"/>
    <w:rsid w:val="00F530B5"/>
    <w:rsid w:val="00F5340F"/>
    <w:rsid w:val="00F571E8"/>
    <w:rsid w:val="00F64B6A"/>
    <w:rsid w:val="00F64BA2"/>
    <w:rsid w:val="00F70130"/>
    <w:rsid w:val="00F73E52"/>
    <w:rsid w:val="00F7579A"/>
    <w:rsid w:val="00F77014"/>
    <w:rsid w:val="00F83A35"/>
    <w:rsid w:val="00F85060"/>
    <w:rsid w:val="00F91CEE"/>
    <w:rsid w:val="00F93720"/>
    <w:rsid w:val="00FA0713"/>
    <w:rsid w:val="00FA1F38"/>
    <w:rsid w:val="00FA2FD4"/>
    <w:rsid w:val="00FA5735"/>
    <w:rsid w:val="00FB2BBD"/>
    <w:rsid w:val="00FB45F1"/>
    <w:rsid w:val="00FB7582"/>
    <w:rsid w:val="00FC03EC"/>
    <w:rsid w:val="00FC4D3B"/>
    <w:rsid w:val="00FC529F"/>
    <w:rsid w:val="00FC5474"/>
    <w:rsid w:val="00FC6223"/>
    <w:rsid w:val="00FD135F"/>
    <w:rsid w:val="00FD2C0E"/>
    <w:rsid w:val="00FD3451"/>
    <w:rsid w:val="00FD3C76"/>
    <w:rsid w:val="00FD3E64"/>
    <w:rsid w:val="00FD41D3"/>
    <w:rsid w:val="00FD4D04"/>
    <w:rsid w:val="00FD63F0"/>
    <w:rsid w:val="00FE008C"/>
    <w:rsid w:val="00FE3540"/>
    <w:rsid w:val="00FE3A28"/>
    <w:rsid w:val="00FE4BF0"/>
    <w:rsid w:val="00FE64B8"/>
    <w:rsid w:val="00FF08A8"/>
    <w:rsid w:val="00FF4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8B64342"/>
  <w15:chartTrackingRefBased/>
  <w15:docId w15:val="{2CF2C65E-E5D6-4C50-A01C-849FC52E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456"/>
    <w:pPr>
      <w:jc w:val="both"/>
    </w:pPr>
    <w:rPr>
      <w:rFonts w:ascii="Arial" w:hAnsi="Arial"/>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uiPriority w:val="9"/>
    <w:qFormat/>
    <w:rsid w:val="00E85775"/>
    <w:pPr>
      <w:keepNext/>
      <w:numPr>
        <w:numId w:val="1"/>
      </w:numPr>
      <w:spacing w:before="360" w:after="120"/>
      <w:outlineLvl w:val="0"/>
    </w:pPr>
    <w:rPr>
      <w:rFonts w:ascii="Times New Roman" w:eastAsia="Times New Roman" w:hAnsi="Times New Roman"/>
      <w:b/>
      <w:bCs/>
      <w:caps/>
      <w:kern w:val="28"/>
      <w:szCs w:val="24"/>
      <w:lang w:val="x-none" w:eastAsia="x-none"/>
    </w:rPr>
  </w:style>
  <w:style w:type="paragraph" w:styleId="Titre2">
    <w:name w:val="heading 2"/>
    <w:aliases w:val="Titre 2 a)"/>
    <w:basedOn w:val="Normal"/>
    <w:next w:val="Normal"/>
    <w:link w:val="Titre2Car"/>
    <w:uiPriority w:val="9"/>
    <w:qFormat/>
    <w:rsid w:val="000F7994"/>
    <w:pPr>
      <w:numPr>
        <w:ilvl w:val="1"/>
      </w:numPr>
      <w:outlineLvl w:val="1"/>
    </w:pPr>
    <w:rPr>
      <w:rFonts w:eastAsia="Times New Roman" w:cs="Arial"/>
      <w:b/>
      <w:bCs/>
      <w:lang w:val="x-none" w:eastAsia="x-none"/>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uiPriority w:val="9"/>
    <w:qFormat/>
    <w:rsid w:val="00E85775"/>
    <w:pPr>
      <w:keepNext/>
      <w:numPr>
        <w:ilvl w:val="2"/>
        <w:numId w:val="1"/>
      </w:numPr>
      <w:spacing w:before="60" w:after="60" w:line="240" w:lineRule="atLeast"/>
      <w:ind w:right="-68"/>
      <w:outlineLvl w:val="2"/>
    </w:pPr>
    <w:rPr>
      <w:rFonts w:ascii="Times New Roman" w:eastAsia="Times New Roman" w:hAnsi="Times New Roman"/>
      <w:color w:val="0000FF"/>
      <w:sz w:val="22"/>
      <w:szCs w:val="22"/>
      <w:lang w:val="x-none" w:eastAsia="x-none"/>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uiPriority w:val="9"/>
    <w:qFormat/>
    <w:rsid w:val="00E85775"/>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T5 or"/>
    <w:basedOn w:val="Normal"/>
    <w:next w:val="Normal"/>
    <w:link w:val="Titre5Car"/>
    <w:rsid w:val="00E85775"/>
    <w:pPr>
      <w:keepNext/>
      <w:numPr>
        <w:ilvl w:val="4"/>
        <w:numId w:val="1"/>
      </w:numPr>
      <w:outlineLvl w:val="4"/>
    </w:pPr>
    <w:rPr>
      <w:rFonts w:ascii="Times New Roman" w:eastAsia="Times New Roman" w:hAnsi="Times New Roman"/>
      <w:b/>
      <w:bCs/>
      <w:sz w:val="22"/>
      <w:szCs w:val="22"/>
    </w:rPr>
  </w:style>
  <w:style w:type="paragraph" w:styleId="Titre6">
    <w:name w:val="heading 6"/>
    <w:aliases w:val="Titre 3 a)"/>
    <w:basedOn w:val="Normal"/>
    <w:next w:val="Normal"/>
    <w:link w:val="Titre6Car"/>
    <w:qFormat/>
    <w:rsid w:val="00D36A60"/>
    <w:pPr>
      <w:keepNext/>
      <w:numPr>
        <w:ilvl w:val="1"/>
      </w:numPr>
      <w:outlineLvl w:val="5"/>
    </w:pPr>
    <w:rPr>
      <w:rFonts w:eastAsia="Times New Roman" w:cs="Arial"/>
      <w:b/>
      <w:bCs/>
      <w:lang w:val="x-none" w:eastAsia="x-none"/>
    </w:rPr>
  </w:style>
  <w:style w:type="paragraph" w:styleId="Titre7">
    <w:name w:val="heading 7"/>
    <w:aliases w:val="Annexe2"/>
    <w:basedOn w:val="Normal"/>
    <w:next w:val="Normal"/>
    <w:link w:val="Titre7Car"/>
    <w:rsid w:val="00E85775"/>
    <w:pPr>
      <w:keepNext/>
      <w:numPr>
        <w:ilvl w:val="6"/>
        <w:numId w:val="1"/>
      </w:numPr>
      <w:tabs>
        <w:tab w:val="left" w:pos="1390"/>
      </w:tabs>
      <w:spacing w:line="240" w:lineRule="atLeast"/>
      <w:ind w:right="-99"/>
      <w:jc w:val="center"/>
      <w:outlineLvl w:val="6"/>
    </w:pPr>
    <w:rPr>
      <w:rFonts w:ascii="Times New Roman" w:eastAsia="Times New Roman" w:hAnsi="Times New Roman"/>
      <w:b/>
      <w:bCs/>
    </w:rPr>
  </w:style>
  <w:style w:type="paragraph" w:styleId="Titre8">
    <w:name w:val="heading 8"/>
    <w:aliases w:val="Annexe3,Titre_8,T8,Enum3,Figure,c,Table Title,(T,9t,Titre 8 CS,Titre général,Titre 8 word"/>
    <w:basedOn w:val="Normal"/>
    <w:next w:val="Normal"/>
    <w:link w:val="Titre8Car"/>
    <w:rsid w:val="00E85775"/>
    <w:pPr>
      <w:keepNext/>
      <w:numPr>
        <w:ilvl w:val="7"/>
        <w:numId w:val="1"/>
      </w:numPr>
      <w:spacing w:before="2040"/>
      <w:outlineLvl w:val="7"/>
    </w:pPr>
    <w:rPr>
      <w:rFonts w:eastAsia="Times New Roman" w:cs="Arial"/>
      <w:b/>
      <w:bCs/>
      <w:smallCaps/>
      <w:noProof/>
      <w:spacing w:val="-20"/>
      <w:sz w:val="16"/>
      <w:szCs w:val="16"/>
    </w:rPr>
  </w:style>
  <w:style w:type="paragraph" w:styleId="Titre9">
    <w:name w:val="heading 9"/>
    <w:aliases w:val="Annexe4,T_Annex,Titre_9,T9,liste 1,Annexes,Table,t,Table Name,(T1,Titre 9 CS,Titre Annexe"/>
    <w:basedOn w:val="Normal"/>
    <w:next w:val="Normal"/>
    <w:link w:val="Titre9Car"/>
    <w:rsid w:val="00E85775"/>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uiPriority w:val="9"/>
    <w:rsid w:val="00E85775"/>
    <w:rPr>
      <w:rFonts w:ascii="Times New Roman" w:eastAsia="Times New Roman" w:hAnsi="Times New Roman"/>
      <w:b/>
      <w:bCs/>
      <w:caps/>
      <w:kern w:val="28"/>
      <w:szCs w:val="24"/>
      <w:lang w:val="x-none" w:eastAsia="x-none"/>
    </w:rPr>
  </w:style>
  <w:style w:type="character" w:customStyle="1" w:styleId="Titre2Car">
    <w:name w:val="Titre 2 Car"/>
    <w:aliases w:val="Titre 2 a) Car"/>
    <w:basedOn w:val="Policepardfaut"/>
    <w:link w:val="Titre2"/>
    <w:rsid w:val="000F7994"/>
    <w:rPr>
      <w:rFonts w:ascii="Arial" w:eastAsia="Times New Roman" w:hAnsi="Arial" w:cs="Arial"/>
      <w:b/>
      <w:bCs/>
      <w:lang w:val="x-none" w:eastAsia="x-none"/>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uiPriority w:val="9"/>
    <w:rsid w:val="00E85775"/>
    <w:rPr>
      <w:rFonts w:ascii="Times New Roman" w:eastAsia="Times New Roman" w:hAnsi="Times New Roman"/>
      <w:color w:val="0000FF"/>
      <w:sz w:val="22"/>
      <w:szCs w:val="22"/>
      <w:lang w:val="x-none" w:eastAsia="x-none"/>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uiPriority w:val="9"/>
    <w:rsid w:val="00E85775"/>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T5 or Car"/>
    <w:basedOn w:val="Policepardfaut"/>
    <w:link w:val="Titre5"/>
    <w:rsid w:val="00E85775"/>
    <w:rPr>
      <w:rFonts w:ascii="Times New Roman" w:eastAsia="Times New Roman" w:hAnsi="Times New Roman"/>
      <w:b/>
      <w:bCs/>
      <w:sz w:val="22"/>
      <w:szCs w:val="22"/>
    </w:rPr>
  </w:style>
  <w:style w:type="character" w:customStyle="1" w:styleId="Titre6Car">
    <w:name w:val="Titre 6 Car"/>
    <w:aliases w:val="Titre 3 a) Car"/>
    <w:basedOn w:val="Policepardfaut"/>
    <w:link w:val="Titre6"/>
    <w:rsid w:val="00D36A60"/>
    <w:rPr>
      <w:rFonts w:ascii="Arial" w:eastAsia="Times New Roman" w:hAnsi="Arial" w:cs="Arial"/>
      <w:b/>
      <w:bCs/>
      <w:lang w:val="x-none" w:eastAsia="x-none"/>
    </w:rPr>
  </w:style>
  <w:style w:type="character" w:customStyle="1" w:styleId="Titre7Car">
    <w:name w:val="Titre 7 Car"/>
    <w:aliases w:val="Annexe2 Car"/>
    <w:basedOn w:val="Policepardfaut"/>
    <w:link w:val="Titre7"/>
    <w:rsid w:val="00E85775"/>
    <w:rPr>
      <w:rFonts w:ascii="Times New Roman" w:eastAsia="Times New Roman" w:hAnsi="Times New Roman"/>
      <w:b/>
      <w:bCs/>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E85775"/>
    <w:rPr>
      <w:rFonts w:ascii="Arial" w:eastAsia="Times New Roman" w:hAnsi="Arial" w:cs="Arial"/>
      <w:b/>
      <w:bCs/>
      <w:smallCaps/>
      <w:noProof/>
      <w:spacing w:val="-20"/>
      <w:sz w:val="16"/>
      <w:szCs w:val="16"/>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E85775"/>
    <w:rPr>
      <w:rFonts w:eastAsia="Times New Roman" w:cs="Times"/>
      <w:b/>
      <w:bCs/>
      <w:sz w:val="26"/>
      <w:szCs w:val="26"/>
    </w:rPr>
  </w:style>
  <w:style w:type="numbering" w:customStyle="1" w:styleId="Aucuneliste1">
    <w:name w:val="Aucune liste1"/>
    <w:next w:val="Aucuneliste"/>
    <w:uiPriority w:val="99"/>
    <w:semiHidden/>
    <w:unhideWhenUsed/>
    <w:rsid w:val="00E85775"/>
  </w:style>
  <w:style w:type="paragraph" w:customStyle="1" w:styleId="Titredocument">
    <w:name w:val="Titre document"/>
    <w:basedOn w:val="Normal"/>
    <w:rsid w:val="00E85775"/>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aliases w:val="Body Text,Corps de texte 1"/>
    <w:basedOn w:val="Normal"/>
    <w:link w:val="CorpsdetexteCar"/>
    <w:rsid w:val="00E85775"/>
    <w:pPr>
      <w:spacing w:line="240" w:lineRule="atLeast"/>
      <w:ind w:right="-12"/>
      <w:jc w:val="center"/>
    </w:pPr>
    <w:rPr>
      <w:rFonts w:ascii="Times New Roman" w:eastAsia="Times New Roman" w:hAnsi="Times New Roman"/>
      <w:b/>
      <w:bCs/>
      <w:lang w:val="x-none" w:eastAsia="x-none"/>
    </w:rPr>
  </w:style>
  <w:style w:type="character" w:customStyle="1" w:styleId="CorpsdetexteCar">
    <w:name w:val="Corps de texte Car"/>
    <w:aliases w:val="Body Text Car,Corps de texte 1 Car"/>
    <w:basedOn w:val="Policepardfaut"/>
    <w:link w:val="Corpsdetexte"/>
    <w:rsid w:val="00E85775"/>
    <w:rPr>
      <w:rFonts w:ascii="Times New Roman" w:eastAsia="Times New Roman" w:hAnsi="Times New Roman"/>
      <w:b/>
      <w:bCs/>
      <w:lang w:val="x-none" w:eastAsia="x-none"/>
    </w:rPr>
  </w:style>
  <w:style w:type="paragraph" w:customStyle="1" w:styleId="NormalDGA">
    <w:name w:val="Normal DGA"/>
    <w:basedOn w:val="Normal"/>
    <w:link w:val="NormalDGACar"/>
    <w:rsid w:val="00E85775"/>
    <w:rPr>
      <w:rFonts w:ascii="Times New Roman" w:eastAsia="Times New Roman" w:hAnsi="Times New Roman"/>
      <w:sz w:val="22"/>
      <w:szCs w:val="22"/>
    </w:rPr>
  </w:style>
  <w:style w:type="character" w:customStyle="1" w:styleId="NormalDGACar">
    <w:name w:val="Normal DGA Car"/>
    <w:link w:val="NormalDGA"/>
    <w:locked/>
    <w:rsid w:val="00E85775"/>
    <w:rPr>
      <w:rFonts w:ascii="Times New Roman" w:eastAsia="Times New Roman" w:hAnsi="Times New Roman"/>
      <w:sz w:val="22"/>
      <w:szCs w:val="22"/>
    </w:rPr>
  </w:style>
  <w:style w:type="paragraph" w:customStyle="1" w:styleId="textnorm">
    <w:name w:val="textnorm"/>
    <w:basedOn w:val="Normal"/>
    <w:rsid w:val="00E85775"/>
    <w:rPr>
      <w:rFonts w:ascii="Times New Roman" w:eastAsia="Times New Roman" w:hAnsi="Times New Roman"/>
      <w:sz w:val="22"/>
    </w:rPr>
  </w:style>
  <w:style w:type="character" w:customStyle="1" w:styleId="PieddepageCar">
    <w:name w:val="Pied de page Car"/>
    <w:basedOn w:val="Policepardfaut"/>
    <w:link w:val="Pieddepage"/>
    <w:uiPriority w:val="99"/>
    <w:rsid w:val="00E85775"/>
    <w:rPr>
      <w:rFonts w:ascii="Arial" w:hAnsi="Arial"/>
      <w:sz w:val="24"/>
    </w:rPr>
  </w:style>
  <w:style w:type="paragraph" w:styleId="Retraitcorpsdetexte">
    <w:name w:val="Body Text Indent"/>
    <w:basedOn w:val="Normal"/>
    <w:link w:val="RetraitcorpsdetexteCar"/>
    <w:rsid w:val="00E85775"/>
    <w:pPr>
      <w:ind w:left="2124"/>
    </w:pPr>
    <w:rPr>
      <w:rFonts w:ascii="Times New Roman" w:eastAsia="Times New Roman" w:hAnsi="Times New Roman"/>
    </w:rPr>
  </w:style>
  <w:style w:type="character" w:customStyle="1" w:styleId="RetraitcorpsdetexteCar">
    <w:name w:val="Retrait corps de texte Car"/>
    <w:basedOn w:val="Policepardfaut"/>
    <w:link w:val="Retraitcorpsdetexte"/>
    <w:rsid w:val="00E85775"/>
    <w:rPr>
      <w:rFonts w:ascii="Times New Roman" w:eastAsia="Times New Roman" w:hAnsi="Times New Roman"/>
      <w:sz w:val="24"/>
    </w:rPr>
  </w:style>
  <w:style w:type="paragraph" w:styleId="Explorateurdedocuments">
    <w:name w:val="Document Map"/>
    <w:basedOn w:val="Normal"/>
    <w:link w:val="ExplorateurdedocumentsCar"/>
    <w:semiHidden/>
    <w:rsid w:val="00E85775"/>
    <w:pPr>
      <w:shd w:val="clear" w:color="auto" w:fill="000080"/>
    </w:pPr>
    <w:rPr>
      <w:rFonts w:ascii="Tahoma" w:eastAsia="Times New Roman" w:hAnsi="Tahoma"/>
    </w:rPr>
  </w:style>
  <w:style w:type="character" w:customStyle="1" w:styleId="ExplorateurdedocumentsCar">
    <w:name w:val="Explorateur de documents Car"/>
    <w:basedOn w:val="Policepardfaut"/>
    <w:link w:val="Explorateurdedocuments"/>
    <w:semiHidden/>
    <w:rsid w:val="00E85775"/>
    <w:rPr>
      <w:rFonts w:ascii="Tahoma" w:eastAsia="Times New Roman" w:hAnsi="Tahoma"/>
      <w:sz w:val="24"/>
      <w:shd w:val="clear" w:color="auto" w:fill="000080"/>
    </w:rPr>
  </w:style>
  <w:style w:type="paragraph" w:styleId="TM1">
    <w:name w:val="toc 1"/>
    <w:basedOn w:val="Normal"/>
    <w:next w:val="Normal"/>
    <w:autoRedefine/>
    <w:uiPriority w:val="39"/>
    <w:rsid w:val="00524AD6"/>
    <w:pPr>
      <w:tabs>
        <w:tab w:val="right" w:leader="dot" w:pos="9968"/>
      </w:tabs>
    </w:pPr>
    <w:rPr>
      <w:rFonts w:asciiTheme="majorHAnsi" w:hAnsiTheme="majorHAnsi"/>
      <w:b/>
      <w:bCs/>
      <w:caps/>
      <w:sz w:val="24"/>
      <w:szCs w:val="24"/>
    </w:rPr>
  </w:style>
  <w:style w:type="paragraph" w:styleId="Retraitcorpsdetexte3">
    <w:name w:val="Body Text Indent 3"/>
    <w:basedOn w:val="Normal"/>
    <w:link w:val="Retraitcorpsdetexte3Car"/>
    <w:rsid w:val="00E85775"/>
    <w:pPr>
      <w:spacing w:after="120"/>
      <w:ind w:left="283"/>
    </w:pPr>
    <w:rPr>
      <w:rFonts w:ascii="Times New Roman" w:eastAsia="Times New Roman" w:hAnsi="Times New Roman"/>
      <w:sz w:val="16"/>
      <w:szCs w:val="16"/>
    </w:rPr>
  </w:style>
  <w:style w:type="character" w:customStyle="1" w:styleId="Retraitcorpsdetexte3Car">
    <w:name w:val="Retrait corps de texte 3 Car"/>
    <w:basedOn w:val="Policepardfaut"/>
    <w:link w:val="Retraitcorpsdetexte3"/>
    <w:rsid w:val="00E85775"/>
    <w:rPr>
      <w:rFonts w:ascii="Times New Roman" w:eastAsia="Times New Roman" w:hAnsi="Times New Roman"/>
      <w:sz w:val="16"/>
      <w:szCs w:val="16"/>
    </w:rPr>
  </w:style>
  <w:style w:type="paragraph" w:customStyle="1" w:styleId="Normal1">
    <w:name w:val="Normal1"/>
    <w:basedOn w:val="Normal"/>
    <w:rsid w:val="00E85775"/>
    <w:pPr>
      <w:widowControl w:val="0"/>
    </w:pPr>
    <w:rPr>
      <w:rFonts w:ascii="Times New Roman" w:eastAsia="Times New Roman" w:hAnsi="Times New Roman"/>
      <w:sz w:val="22"/>
    </w:rPr>
  </w:style>
  <w:style w:type="paragraph" w:styleId="Corpsdetexte2">
    <w:name w:val="Body Text 2"/>
    <w:basedOn w:val="Normal"/>
    <w:link w:val="Corpsdetexte2Car"/>
    <w:rsid w:val="00E85775"/>
    <w:pPr>
      <w:spacing w:after="120" w:line="480" w:lineRule="auto"/>
    </w:pPr>
    <w:rPr>
      <w:rFonts w:ascii="Times New Roman" w:eastAsia="Times New Roman" w:hAnsi="Times New Roman"/>
    </w:rPr>
  </w:style>
  <w:style w:type="character" w:customStyle="1" w:styleId="Corpsdetexte2Car">
    <w:name w:val="Corps de texte 2 Car"/>
    <w:basedOn w:val="Policepardfaut"/>
    <w:link w:val="Corpsdetexte2"/>
    <w:rsid w:val="00E85775"/>
    <w:rPr>
      <w:rFonts w:ascii="Times New Roman" w:eastAsia="Times New Roman" w:hAnsi="Times New Roman"/>
      <w:sz w:val="24"/>
    </w:rPr>
  </w:style>
  <w:style w:type="paragraph" w:styleId="Retraitcorpsdetexte2">
    <w:name w:val="Body Text Indent 2"/>
    <w:basedOn w:val="Normal"/>
    <w:link w:val="Retraitcorpsdetexte2Car"/>
    <w:rsid w:val="00E85775"/>
    <w:pPr>
      <w:ind w:left="1065" w:hanging="360"/>
    </w:pPr>
    <w:rPr>
      <w:rFonts w:ascii="Times New Roman" w:eastAsia="Times New Roman" w:hAnsi="Times New Roman"/>
      <w:color w:val="0000FF"/>
    </w:rPr>
  </w:style>
  <w:style w:type="character" w:customStyle="1" w:styleId="Retraitcorpsdetexte2Car">
    <w:name w:val="Retrait corps de texte 2 Car"/>
    <w:basedOn w:val="Policepardfaut"/>
    <w:link w:val="Retraitcorpsdetexte2"/>
    <w:rsid w:val="00E85775"/>
    <w:rPr>
      <w:rFonts w:ascii="Times New Roman" w:eastAsia="Times New Roman" w:hAnsi="Times New Roman"/>
      <w:color w:val="0000FF"/>
      <w:sz w:val="24"/>
    </w:rPr>
  </w:style>
  <w:style w:type="paragraph" w:customStyle="1" w:styleId="PA">
    <w:name w:val="PA"/>
    <w:rsid w:val="00E85775"/>
    <w:pPr>
      <w:suppressAutoHyphens/>
      <w:spacing w:before="240" w:line="240" w:lineRule="atLeast"/>
      <w:jc w:val="both"/>
    </w:pPr>
    <w:rPr>
      <w:rFonts w:ascii="CG Times (E1)" w:eastAsia="Times New Roman" w:hAnsi="CG Times (E1)"/>
      <w:sz w:val="24"/>
      <w:lang w:eastAsia="ar-SA"/>
    </w:rPr>
  </w:style>
  <w:style w:type="paragraph" w:customStyle="1" w:styleId="SStandard">
    <w:name w:val="S Standard"/>
    <w:rsid w:val="00E85775"/>
    <w:pPr>
      <w:widowControl w:val="0"/>
      <w:suppressAutoHyphens/>
      <w:autoSpaceDE w:val="0"/>
      <w:spacing w:before="360"/>
      <w:ind w:firstLine="1134"/>
      <w:jc w:val="both"/>
    </w:pPr>
    <w:rPr>
      <w:rFonts w:ascii="Courier" w:eastAsia="Times New Roman" w:hAnsi="Courier"/>
      <w:sz w:val="24"/>
      <w:szCs w:val="24"/>
      <w:lang w:eastAsia="ar-SA"/>
    </w:rPr>
  </w:style>
  <w:style w:type="character" w:customStyle="1" w:styleId="WW8Num11z0">
    <w:name w:val="WW8Num11z0"/>
    <w:rsid w:val="00E85775"/>
    <w:rPr>
      <w:rFonts w:ascii="Symbol" w:hAnsi="Symbol"/>
    </w:rPr>
  </w:style>
  <w:style w:type="character" w:styleId="Numrodepage">
    <w:name w:val="page number"/>
    <w:basedOn w:val="Policepardfaut"/>
    <w:rsid w:val="00E85775"/>
  </w:style>
  <w:style w:type="paragraph" w:customStyle="1" w:styleId="Style1">
    <w:name w:val="Style1"/>
    <w:basedOn w:val="Normal"/>
    <w:rsid w:val="00E85775"/>
    <w:rPr>
      <w:rFonts w:ascii="Times New Roman" w:eastAsia="Times New Roman" w:hAnsi="Times New Roman"/>
    </w:rPr>
  </w:style>
  <w:style w:type="paragraph" w:styleId="Listepuces">
    <w:name w:val="List Bullet"/>
    <w:basedOn w:val="Normal"/>
    <w:rsid w:val="00E85775"/>
    <w:pPr>
      <w:keepLines/>
      <w:numPr>
        <w:numId w:val="2"/>
      </w:numPr>
    </w:pPr>
    <w:rPr>
      <w:rFonts w:eastAsia="Times New Roman"/>
    </w:rPr>
  </w:style>
  <w:style w:type="paragraph" w:customStyle="1" w:styleId="Enum1">
    <w:name w:val="Enum1"/>
    <w:basedOn w:val="Normal"/>
    <w:rsid w:val="00E85775"/>
    <w:pPr>
      <w:numPr>
        <w:numId w:val="5"/>
      </w:numPr>
      <w:spacing w:before="60"/>
    </w:pPr>
    <w:rPr>
      <w:rFonts w:ascii="Times New Roman" w:eastAsia="Times New Roman" w:hAnsi="Times New Roman"/>
      <w:szCs w:val="24"/>
    </w:rPr>
  </w:style>
  <w:style w:type="paragraph" w:customStyle="1" w:styleId="NomAnnexe">
    <w:name w:val="Nom Annexe"/>
    <w:basedOn w:val="Titre1"/>
    <w:rsid w:val="00E85775"/>
    <w:pPr>
      <w:keepNext w:val="0"/>
      <w:numPr>
        <w:numId w:val="3"/>
      </w:numPr>
      <w:tabs>
        <w:tab w:val="left" w:pos="3402"/>
      </w:tabs>
    </w:pPr>
    <w:rPr>
      <w:rFonts w:ascii="Arial" w:hAnsi="Arial" w:cs="Arial"/>
      <w:b w:val="0"/>
      <w:bCs w:val="0"/>
      <w:caps w:val="0"/>
      <w:kern w:val="0"/>
      <w:sz w:val="36"/>
      <w:szCs w:val="36"/>
      <w:u w:val="single"/>
      <w:lang w:val="fr-FR" w:eastAsia="fr-FR"/>
    </w:rPr>
  </w:style>
  <w:style w:type="paragraph" w:customStyle="1" w:styleId="point-gaauche">
    <w:name w:val="point-gaauche"/>
    <w:basedOn w:val="Normal"/>
    <w:rsid w:val="00E85775"/>
    <w:pPr>
      <w:numPr>
        <w:numId w:val="6"/>
      </w:numPr>
      <w:spacing w:before="120" w:after="120"/>
    </w:pPr>
    <w:rPr>
      <w:rFonts w:ascii="Times New Roman" w:eastAsia="Times New Roman" w:hAnsi="Times New Roman"/>
      <w:sz w:val="22"/>
      <w:szCs w:val="22"/>
    </w:rPr>
  </w:style>
  <w:style w:type="paragraph" w:styleId="TM2">
    <w:name w:val="toc 2"/>
    <w:basedOn w:val="Normal"/>
    <w:next w:val="Normal"/>
    <w:autoRedefine/>
    <w:uiPriority w:val="39"/>
    <w:rsid w:val="00524AD6"/>
    <w:pPr>
      <w:tabs>
        <w:tab w:val="right" w:leader="dot" w:pos="9968"/>
      </w:tabs>
    </w:pPr>
    <w:rPr>
      <w:rFonts w:asciiTheme="minorHAnsi" w:hAnsiTheme="minorHAnsi" w:cstheme="minorHAnsi"/>
      <w:b/>
      <w:bCs/>
    </w:rPr>
  </w:style>
  <w:style w:type="paragraph" w:styleId="TM3">
    <w:name w:val="toc 3"/>
    <w:basedOn w:val="Normal"/>
    <w:next w:val="Normal"/>
    <w:autoRedefine/>
    <w:uiPriority w:val="39"/>
    <w:rsid w:val="00E85775"/>
    <w:pPr>
      <w:ind w:left="200"/>
    </w:pPr>
    <w:rPr>
      <w:rFonts w:asciiTheme="minorHAnsi" w:hAnsiTheme="minorHAnsi" w:cstheme="minorHAnsi"/>
    </w:rPr>
  </w:style>
  <w:style w:type="paragraph" w:styleId="TM4">
    <w:name w:val="toc 4"/>
    <w:basedOn w:val="Normal"/>
    <w:next w:val="Normal"/>
    <w:autoRedefine/>
    <w:uiPriority w:val="39"/>
    <w:rsid w:val="00E85775"/>
    <w:pPr>
      <w:ind w:left="400"/>
    </w:pPr>
    <w:rPr>
      <w:rFonts w:asciiTheme="minorHAnsi" w:hAnsiTheme="minorHAnsi" w:cstheme="minorHAnsi"/>
    </w:rPr>
  </w:style>
  <w:style w:type="character" w:customStyle="1" w:styleId="NomalCar">
    <w:name w:val="Nomal Car"/>
    <w:locked/>
    <w:rsid w:val="00E85775"/>
    <w:rPr>
      <w:b/>
      <w:bCs/>
      <w:sz w:val="24"/>
      <w:szCs w:val="24"/>
      <w:lang w:val="fr-FR" w:eastAsia="fr-FR"/>
    </w:rPr>
  </w:style>
  <w:style w:type="paragraph" w:styleId="Lgende">
    <w:name w:val="caption"/>
    <w:basedOn w:val="Normal"/>
    <w:next w:val="Normal"/>
    <w:rsid w:val="00E85775"/>
    <w:pPr>
      <w:spacing w:before="120" w:after="120"/>
    </w:pPr>
    <w:rPr>
      <w:rFonts w:ascii="Times New Roman" w:eastAsia="Times New Roman" w:hAnsi="Times New Roman"/>
      <w:b/>
      <w:bCs/>
    </w:rPr>
  </w:style>
  <w:style w:type="character" w:styleId="Marquedecommentaire">
    <w:name w:val="annotation reference"/>
    <w:uiPriority w:val="99"/>
    <w:semiHidden/>
    <w:rsid w:val="00E85775"/>
    <w:rPr>
      <w:sz w:val="16"/>
      <w:szCs w:val="16"/>
    </w:rPr>
  </w:style>
  <w:style w:type="paragraph" w:styleId="Commentaire">
    <w:name w:val="annotation text"/>
    <w:basedOn w:val="Normal"/>
    <w:link w:val="CommentaireCar"/>
    <w:uiPriority w:val="99"/>
    <w:semiHidden/>
    <w:rsid w:val="00E85775"/>
    <w:rPr>
      <w:rFonts w:ascii="Times New Roman" w:eastAsia="Times New Roman" w:hAnsi="Times New Roman"/>
    </w:rPr>
  </w:style>
  <w:style w:type="character" w:customStyle="1" w:styleId="CommentaireCar">
    <w:name w:val="Commentaire Car"/>
    <w:basedOn w:val="Policepardfaut"/>
    <w:link w:val="Commentaire"/>
    <w:uiPriority w:val="99"/>
    <w:semiHidden/>
    <w:rsid w:val="00E85775"/>
    <w:rPr>
      <w:rFonts w:ascii="Times New Roman" w:eastAsia="Times New Roman" w:hAnsi="Times New Roman"/>
    </w:rPr>
  </w:style>
  <w:style w:type="paragraph" w:styleId="Corpsdetexte3">
    <w:name w:val="Body Text 3"/>
    <w:basedOn w:val="Normal"/>
    <w:link w:val="Corpsdetexte3Car"/>
    <w:rsid w:val="00E85775"/>
    <w:rPr>
      <w:rFonts w:ascii="Times New Roman" w:eastAsia="Times New Roman" w:hAnsi="Times New Roman"/>
    </w:rPr>
  </w:style>
  <w:style w:type="character" w:customStyle="1" w:styleId="Corpsdetexte3Car">
    <w:name w:val="Corps de texte 3 Car"/>
    <w:basedOn w:val="Policepardfaut"/>
    <w:link w:val="Corpsdetexte3"/>
    <w:rsid w:val="00E85775"/>
    <w:rPr>
      <w:rFonts w:ascii="Times New Roman" w:eastAsia="Times New Roman" w:hAnsi="Times New Roman"/>
    </w:rPr>
  </w:style>
  <w:style w:type="paragraph" w:customStyle="1" w:styleId="Lettreretrait">
    <w:name w:val="Lettre retrait"/>
    <w:basedOn w:val="Normal"/>
    <w:rsid w:val="00E85775"/>
    <w:pPr>
      <w:ind w:hanging="284"/>
    </w:pPr>
    <w:rPr>
      <w:rFonts w:ascii="Times New Roman" w:eastAsia="Times New Roman" w:hAnsi="Times New Roman"/>
      <w:b/>
      <w:bCs/>
      <w:sz w:val="28"/>
      <w:szCs w:val="28"/>
    </w:rPr>
  </w:style>
  <w:style w:type="paragraph" w:styleId="Notedebasdepage">
    <w:name w:val="footnote text"/>
    <w:basedOn w:val="Normal"/>
    <w:link w:val="NotedebasdepageCar"/>
    <w:uiPriority w:val="99"/>
    <w:semiHidden/>
    <w:rsid w:val="00E85775"/>
    <w:pPr>
      <w:spacing w:before="120" w:after="120"/>
    </w:pPr>
    <w:rPr>
      <w:rFonts w:ascii="Times New Roman" w:eastAsia="Times New Roman" w:hAnsi="Times New Roman"/>
    </w:rPr>
  </w:style>
  <w:style w:type="character" w:customStyle="1" w:styleId="NotedebasdepageCar">
    <w:name w:val="Note de bas de page Car"/>
    <w:basedOn w:val="Policepardfaut"/>
    <w:link w:val="Notedebasdepage"/>
    <w:uiPriority w:val="99"/>
    <w:semiHidden/>
    <w:rsid w:val="00E85775"/>
    <w:rPr>
      <w:rFonts w:ascii="Times New Roman" w:eastAsia="Times New Roman" w:hAnsi="Times New Roman"/>
    </w:rPr>
  </w:style>
  <w:style w:type="paragraph" w:customStyle="1" w:styleId="Nomal">
    <w:name w:val="Nomal"/>
    <w:basedOn w:val="Normal"/>
    <w:rsid w:val="00E85775"/>
    <w:pPr>
      <w:tabs>
        <w:tab w:val="left" w:pos="12474"/>
      </w:tabs>
      <w:spacing w:before="120" w:after="120"/>
      <w:ind w:left="1760"/>
      <w:jc w:val="center"/>
    </w:pPr>
    <w:rPr>
      <w:rFonts w:ascii="Times New Roman" w:eastAsia="Times New Roman" w:hAnsi="Times New Roman"/>
      <w:b/>
      <w:bCs/>
      <w:szCs w:val="24"/>
    </w:rPr>
  </w:style>
  <w:style w:type="character" w:customStyle="1" w:styleId="Titre2CarCar">
    <w:name w:val="Titre 2 Car Car"/>
    <w:locked/>
    <w:rsid w:val="00E85775"/>
    <w:rPr>
      <w:rFonts w:ascii="Arial" w:hAnsi="Arial" w:cs="Arial"/>
      <w:b/>
      <w:bCs/>
      <w:caps/>
      <w:color w:val="FF00FF"/>
      <w:sz w:val="32"/>
    </w:rPr>
  </w:style>
  <w:style w:type="character" w:customStyle="1" w:styleId="Titre3CarCar">
    <w:name w:val="Titre 3 Car Car"/>
    <w:locked/>
    <w:rsid w:val="00E85775"/>
    <w:rPr>
      <w:rFonts w:ascii="Arial" w:hAnsi="Arial" w:cs="Arial"/>
      <w:b/>
      <w:bCs/>
      <w:caps/>
      <w:color w:val="0000FF"/>
      <w:szCs w:val="28"/>
      <w:u w:val="single"/>
    </w:rPr>
  </w:style>
  <w:style w:type="character" w:customStyle="1" w:styleId="Titre5CarCar">
    <w:name w:val="Titre 5 Car Car"/>
    <w:locked/>
    <w:rsid w:val="00E85775"/>
    <w:rPr>
      <w:rFonts w:ascii="Arial" w:hAnsi="Arial" w:cs="Arial"/>
      <w:b/>
      <w:bCs/>
      <w:i/>
      <w:iCs/>
      <w:lang w:val="fr-FR" w:eastAsia="fr-FR" w:bidi="ar-SA"/>
    </w:rPr>
  </w:style>
  <w:style w:type="paragraph" w:customStyle="1" w:styleId="TITRECENTRE">
    <w:name w:val="TITRE CENTRE"/>
    <w:basedOn w:val="Normal"/>
    <w:rsid w:val="00E85775"/>
    <w:pPr>
      <w:spacing w:before="120" w:after="120"/>
      <w:jc w:val="center"/>
    </w:pPr>
    <w:rPr>
      <w:rFonts w:ascii="Times New Roman" w:eastAsia="Times New Roman" w:hAnsi="Times New Roman"/>
      <w:b/>
      <w:bCs/>
      <w:sz w:val="26"/>
      <w:szCs w:val="26"/>
    </w:rPr>
  </w:style>
  <w:style w:type="paragraph" w:customStyle="1" w:styleId="numero">
    <w:name w:val="numero"/>
    <w:basedOn w:val="Titre1"/>
    <w:rsid w:val="00E85775"/>
    <w:pPr>
      <w:numPr>
        <w:numId w:val="4"/>
      </w:numPr>
      <w:tabs>
        <w:tab w:val="left" w:pos="3402"/>
        <w:tab w:val="right" w:pos="7371"/>
      </w:tabs>
      <w:spacing w:before="60" w:after="0"/>
      <w:ind w:left="3345"/>
    </w:pPr>
    <w:rPr>
      <w:rFonts w:ascii="Arial" w:hAnsi="Arial" w:cs="Arial"/>
      <w:i/>
      <w:iCs/>
      <w:caps w:val="0"/>
      <w:kern w:val="0"/>
      <w:sz w:val="22"/>
      <w:szCs w:val="22"/>
      <w:lang w:val="fr-FR" w:eastAsia="fr-FR"/>
    </w:rPr>
  </w:style>
  <w:style w:type="paragraph" w:customStyle="1" w:styleId="StyleAvant0ptAprs0pt">
    <w:name w:val="Style Avant : 0 pt Après : 0 pt"/>
    <w:basedOn w:val="Normal"/>
    <w:semiHidden/>
    <w:rsid w:val="00E85775"/>
    <w:pPr>
      <w:ind w:left="284"/>
    </w:pPr>
    <w:rPr>
      <w:rFonts w:ascii="Times New Roman" w:eastAsia="Times New Roman" w:hAnsi="Times New Roman"/>
      <w:sz w:val="22"/>
      <w:szCs w:val="22"/>
    </w:rPr>
  </w:style>
  <w:style w:type="paragraph" w:customStyle="1" w:styleId="ParagrapheModle">
    <w:name w:val="Paragraphe Modèle"/>
    <w:basedOn w:val="Normal"/>
    <w:rsid w:val="00E85775"/>
    <w:pPr>
      <w:spacing w:before="240"/>
    </w:pPr>
    <w:rPr>
      <w:rFonts w:ascii="Times New Roman" w:eastAsia="Times New Roman" w:hAnsi="Times New Roman"/>
      <w:sz w:val="22"/>
      <w:szCs w:val="22"/>
    </w:rPr>
  </w:style>
  <w:style w:type="paragraph" w:customStyle="1" w:styleId="Typededocument">
    <w:name w:val="Type de document"/>
    <w:basedOn w:val="ParagrapheModle"/>
    <w:next w:val="ParagrapheModle"/>
    <w:semiHidden/>
    <w:rsid w:val="00E85775"/>
    <w:pPr>
      <w:jc w:val="center"/>
    </w:pPr>
    <w:rPr>
      <w:b/>
      <w:bCs/>
      <w:caps/>
      <w:spacing w:val="20"/>
      <w:sz w:val="24"/>
      <w:szCs w:val="24"/>
    </w:rPr>
  </w:style>
  <w:style w:type="paragraph" w:customStyle="1" w:styleId="StyleAvant0ptAprs3pt">
    <w:name w:val="Style Avant : 0 pt Après : 3 pt"/>
    <w:basedOn w:val="Normal"/>
    <w:rsid w:val="00E85775"/>
    <w:pPr>
      <w:spacing w:after="60"/>
      <w:ind w:left="397"/>
    </w:pPr>
    <w:rPr>
      <w:rFonts w:ascii="Times New Roman" w:eastAsia="Times New Roman" w:hAnsi="Times New Roman"/>
      <w:sz w:val="22"/>
      <w:szCs w:val="22"/>
    </w:rPr>
  </w:style>
  <w:style w:type="paragraph" w:customStyle="1" w:styleId="Normalgras">
    <w:name w:val="Normal + gras"/>
    <w:basedOn w:val="Titre3"/>
    <w:rsid w:val="00E85775"/>
    <w:pPr>
      <w:keepNext w:val="0"/>
      <w:keepLines/>
      <w:numPr>
        <w:ilvl w:val="0"/>
        <w:numId w:val="0"/>
      </w:numPr>
      <w:spacing w:line="240" w:lineRule="auto"/>
      <w:ind w:right="0"/>
    </w:pPr>
    <w:rPr>
      <w:b/>
      <w:bCs/>
      <w:color w:val="auto"/>
      <w:lang w:val="fr-FR" w:eastAsia="fr-FR"/>
    </w:rPr>
  </w:style>
  <w:style w:type="paragraph" w:customStyle="1" w:styleId="StyleAvant0pt">
    <w:name w:val="Style Avant : 0 pt"/>
    <w:basedOn w:val="Normal"/>
    <w:rsid w:val="00E85775"/>
    <w:pPr>
      <w:spacing w:after="120"/>
      <w:ind w:left="284"/>
    </w:pPr>
    <w:rPr>
      <w:rFonts w:ascii="Times New Roman" w:eastAsia="Times New Roman" w:hAnsi="Times New Roman"/>
      <w:sz w:val="22"/>
      <w:szCs w:val="22"/>
    </w:rPr>
  </w:style>
  <w:style w:type="paragraph" w:styleId="Textedebulles">
    <w:name w:val="Balloon Text"/>
    <w:basedOn w:val="Normal"/>
    <w:link w:val="TextedebullesCar"/>
    <w:semiHidden/>
    <w:rsid w:val="00E85775"/>
    <w:pPr>
      <w:spacing w:before="120" w:after="120"/>
    </w:pPr>
    <w:rPr>
      <w:rFonts w:ascii="Tahoma" w:eastAsia="Times New Roman" w:hAnsi="Tahoma" w:cs="Tahoma"/>
      <w:sz w:val="16"/>
      <w:szCs w:val="16"/>
    </w:rPr>
  </w:style>
  <w:style w:type="character" w:customStyle="1" w:styleId="TextedebullesCar">
    <w:name w:val="Texte de bulles Car"/>
    <w:basedOn w:val="Policepardfaut"/>
    <w:link w:val="Textedebulles"/>
    <w:semiHidden/>
    <w:rsid w:val="00E85775"/>
    <w:rPr>
      <w:rFonts w:ascii="Tahoma" w:eastAsia="Times New Roman" w:hAnsi="Tahoma" w:cs="Tahoma"/>
      <w:sz w:val="16"/>
      <w:szCs w:val="16"/>
    </w:rPr>
  </w:style>
  <w:style w:type="paragraph" w:customStyle="1" w:styleId="Texte2">
    <w:name w:val="Texte2"/>
    <w:rsid w:val="00E85775"/>
    <w:pPr>
      <w:ind w:left="1134"/>
    </w:pPr>
    <w:rPr>
      <w:rFonts w:ascii="Times New Roman" w:eastAsia="Times New Roman" w:hAnsi="Times New Roman"/>
      <w:sz w:val="24"/>
      <w:szCs w:val="24"/>
    </w:rPr>
  </w:style>
  <w:style w:type="paragraph" w:customStyle="1" w:styleId="StyleRetraitAutomatiqueAvant0ptAprs0pt">
    <w:name w:val="Style Retrait + Automatique Avant : 0 pt Après : 0 pt"/>
    <w:basedOn w:val="Normal"/>
    <w:rsid w:val="00E85775"/>
    <w:pPr>
      <w:ind w:left="283" w:hanging="567"/>
    </w:pPr>
    <w:rPr>
      <w:rFonts w:eastAsia="Times New Roman" w:cs="Arial"/>
      <w:b/>
      <w:bCs/>
      <w:sz w:val="28"/>
      <w:szCs w:val="28"/>
    </w:rPr>
  </w:style>
  <w:style w:type="paragraph" w:customStyle="1" w:styleId="commentairepuce">
    <w:name w:val="commentaire puce"/>
    <w:basedOn w:val="Normal"/>
    <w:rsid w:val="00E85775"/>
    <w:pPr>
      <w:spacing w:before="120" w:after="120"/>
      <w:ind w:left="567" w:hanging="1134"/>
    </w:pPr>
    <w:rPr>
      <w:rFonts w:ascii="Times New Roman" w:eastAsia="Times New Roman" w:hAnsi="Times New Roman"/>
      <w:i/>
      <w:iCs/>
      <w:sz w:val="22"/>
      <w:szCs w:val="22"/>
    </w:rPr>
  </w:style>
  <w:style w:type="paragraph" w:customStyle="1" w:styleId="StyleTitre1Gauche">
    <w:name w:val="Style Titre 1 + Gauche"/>
    <w:basedOn w:val="Titre1"/>
    <w:rsid w:val="00E85775"/>
    <w:pPr>
      <w:keepNext w:val="0"/>
      <w:numPr>
        <w:numId w:val="0"/>
      </w:numPr>
      <w:tabs>
        <w:tab w:val="num" w:pos="360"/>
        <w:tab w:val="left" w:pos="3402"/>
      </w:tabs>
      <w:ind w:left="1134" w:hanging="360"/>
    </w:pPr>
    <w:rPr>
      <w:rFonts w:ascii="Arial" w:hAnsi="Arial" w:cs="Arial"/>
      <w:caps w:val="0"/>
      <w:kern w:val="0"/>
      <w:sz w:val="36"/>
      <w:szCs w:val="36"/>
      <w:u w:val="single"/>
      <w:lang w:val="fr-FR" w:eastAsia="fr-FR"/>
    </w:rPr>
  </w:style>
  <w:style w:type="paragraph" w:customStyle="1" w:styleId="Rub3">
    <w:name w:val="Rub3"/>
    <w:basedOn w:val="Normal"/>
    <w:next w:val="Normal"/>
    <w:rsid w:val="00E85775"/>
    <w:pPr>
      <w:tabs>
        <w:tab w:val="left" w:pos="709"/>
      </w:tabs>
      <w:suppressAutoHyphens/>
    </w:pPr>
    <w:rPr>
      <w:rFonts w:ascii="Times New Roman" w:eastAsia="Times New Roman" w:hAnsi="Times New Roman"/>
      <w:b/>
      <w:i/>
      <w:lang w:eastAsia="ar-SA"/>
    </w:rPr>
  </w:style>
  <w:style w:type="paragraph" w:styleId="NormalWeb">
    <w:name w:val="Normal (Web)"/>
    <w:basedOn w:val="Normal"/>
    <w:rsid w:val="00E85775"/>
    <w:pPr>
      <w:spacing w:before="100" w:after="119"/>
    </w:pPr>
    <w:rPr>
      <w:rFonts w:ascii="Arial Unicode MS" w:eastAsia="Arial Unicode MS" w:hAnsi="Arial Unicode MS" w:cs="Arial Unicode MS"/>
      <w:szCs w:val="24"/>
      <w:lang w:eastAsia="ar-SA"/>
    </w:rPr>
  </w:style>
  <w:style w:type="paragraph" w:customStyle="1" w:styleId="Titre1Domi">
    <w:name w:val="Titre 1 Domi"/>
    <w:basedOn w:val="Titre1"/>
    <w:next w:val="Normal"/>
    <w:autoRedefine/>
    <w:rsid w:val="00E85775"/>
    <w:pPr>
      <w:numPr>
        <w:numId w:val="0"/>
      </w:numPr>
      <w:shd w:val="clear" w:color="auto" w:fill="FFFFFF"/>
      <w:suppressAutoHyphens/>
      <w:spacing w:before="0"/>
    </w:pPr>
    <w:rPr>
      <w:rFonts w:ascii="Arial" w:hAnsi="Arial" w:cs="Arial"/>
      <w:color w:val="000000"/>
      <w:sz w:val="28"/>
      <w:u w:val="single"/>
      <w:lang w:val="fr-FR" w:eastAsia="fr-FR"/>
    </w:rPr>
  </w:style>
  <w:style w:type="paragraph" w:customStyle="1" w:styleId="Titre3Domi">
    <w:name w:val="Titre 3 Domi"/>
    <w:basedOn w:val="Titre3"/>
    <w:autoRedefine/>
    <w:rsid w:val="00E85775"/>
    <w:pPr>
      <w:keepNext w:val="0"/>
      <w:framePr w:hSpace="141" w:wrap="around" w:vAnchor="text" w:hAnchor="margin" w:y="107"/>
      <w:numPr>
        <w:ilvl w:val="0"/>
        <w:numId w:val="0"/>
      </w:numPr>
      <w:tabs>
        <w:tab w:val="left" w:pos="2127"/>
      </w:tabs>
      <w:suppressAutoHyphens/>
      <w:spacing w:before="0" w:after="120" w:line="240" w:lineRule="auto"/>
      <w:ind w:right="0"/>
      <w:jc w:val="center"/>
      <w:outlineLvl w:val="9"/>
    </w:pPr>
    <w:rPr>
      <w:rFonts w:eastAsia="Arial Unicode MS"/>
      <w:b/>
      <w:bCs/>
      <w:color w:val="auto"/>
      <w:sz w:val="24"/>
      <w:szCs w:val="24"/>
      <w:lang w:val="fr-FR" w:eastAsia="fr-FR"/>
    </w:rPr>
  </w:style>
  <w:style w:type="paragraph" w:styleId="Date">
    <w:name w:val="Date"/>
    <w:basedOn w:val="Corpsdetexte"/>
    <w:link w:val="DateCar"/>
    <w:rsid w:val="00E85775"/>
    <w:pPr>
      <w:spacing w:before="120" w:after="120" w:line="240" w:lineRule="auto"/>
      <w:ind w:right="0"/>
    </w:pPr>
    <w:rPr>
      <w:b w:val="0"/>
      <w:bCs w:val="0"/>
      <w:sz w:val="24"/>
      <w:lang w:val="fr-FR" w:eastAsia="fr-FR"/>
    </w:rPr>
  </w:style>
  <w:style w:type="character" w:customStyle="1" w:styleId="DateCar">
    <w:name w:val="Date Car"/>
    <w:basedOn w:val="Policepardfaut"/>
    <w:link w:val="Date"/>
    <w:rsid w:val="00E85775"/>
    <w:rPr>
      <w:rFonts w:ascii="Times New Roman" w:eastAsia="Times New Roman" w:hAnsi="Times New Roman"/>
      <w:sz w:val="24"/>
    </w:rPr>
  </w:style>
  <w:style w:type="character" w:styleId="Appelnotedebasdep">
    <w:name w:val="footnote reference"/>
    <w:uiPriority w:val="99"/>
    <w:semiHidden/>
    <w:rsid w:val="00E85775"/>
    <w:rPr>
      <w:vertAlign w:val="superscript"/>
    </w:rPr>
  </w:style>
  <w:style w:type="paragraph" w:styleId="Listepuces2">
    <w:name w:val="List Bullet 2"/>
    <w:basedOn w:val="Listepuces"/>
    <w:autoRedefine/>
    <w:rsid w:val="00E85775"/>
    <w:pPr>
      <w:keepLines w:val="0"/>
      <w:numPr>
        <w:numId w:val="0"/>
      </w:numPr>
      <w:tabs>
        <w:tab w:val="num" w:pos="360"/>
      </w:tabs>
      <w:spacing w:before="60" w:after="60"/>
      <w:ind w:left="993" w:hanging="283"/>
    </w:pPr>
    <w:rPr>
      <w:rFonts w:ascii="Times New Roman" w:hAnsi="Times New Roman"/>
      <w:sz w:val="24"/>
      <w:szCs w:val="24"/>
    </w:rPr>
  </w:style>
  <w:style w:type="paragraph" w:customStyle="1" w:styleId="western">
    <w:name w:val="western"/>
    <w:basedOn w:val="Normal"/>
    <w:rsid w:val="00E85775"/>
    <w:pPr>
      <w:spacing w:before="100"/>
    </w:pPr>
    <w:rPr>
      <w:rFonts w:eastAsia="Arial Unicode MS" w:cs="Arial"/>
      <w:b/>
      <w:bCs/>
      <w:szCs w:val="24"/>
      <w:lang w:eastAsia="ar-SA"/>
    </w:rPr>
  </w:style>
  <w:style w:type="paragraph" w:styleId="TM5">
    <w:name w:val="toc 5"/>
    <w:basedOn w:val="Normal"/>
    <w:next w:val="Normal"/>
    <w:autoRedefine/>
    <w:uiPriority w:val="39"/>
    <w:rsid w:val="00E85775"/>
    <w:pPr>
      <w:ind w:left="600"/>
    </w:pPr>
    <w:rPr>
      <w:rFonts w:asciiTheme="minorHAnsi" w:hAnsiTheme="minorHAnsi" w:cstheme="minorHAnsi"/>
    </w:rPr>
  </w:style>
  <w:style w:type="paragraph" w:styleId="TM6">
    <w:name w:val="toc 6"/>
    <w:basedOn w:val="Normal"/>
    <w:next w:val="Normal"/>
    <w:autoRedefine/>
    <w:uiPriority w:val="39"/>
    <w:rsid w:val="00E85775"/>
    <w:pPr>
      <w:ind w:left="800"/>
    </w:pPr>
    <w:rPr>
      <w:rFonts w:asciiTheme="minorHAnsi" w:hAnsiTheme="minorHAnsi" w:cstheme="minorHAnsi"/>
    </w:rPr>
  </w:style>
  <w:style w:type="paragraph" w:styleId="TM7">
    <w:name w:val="toc 7"/>
    <w:basedOn w:val="Normal"/>
    <w:next w:val="Normal"/>
    <w:autoRedefine/>
    <w:uiPriority w:val="39"/>
    <w:rsid w:val="00E85775"/>
    <w:pPr>
      <w:ind w:left="1000"/>
    </w:pPr>
    <w:rPr>
      <w:rFonts w:asciiTheme="minorHAnsi" w:hAnsiTheme="minorHAnsi" w:cstheme="minorHAnsi"/>
    </w:rPr>
  </w:style>
  <w:style w:type="paragraph" w:styleId="TM8">
    <w:name w:val="toc 8"/>
    <w:basedOn w:val="Normal"/>
    <w:next w:val="Normal"/>
    <w:autoRedefine/>
    <w:uiPriority w:val="39"/>
    <w:rsid w:val="00E85775"/>
    <w:pPr>
      <w:ind w:left="1200"/>
    </w:pPr>
    <w:rPr>
      <w:rFonts w:asciiTheme="minorHAnsi" w:hAnsiTheme="minorHAnsi" w:cstheme="minorHAnsi"/>
    </w:rPr>
  </w:style>
  <w:style w:type="paragraph" w:styleId="TM9">
    <w:name w:val="toc 9"/>
    <w:basedOn w:val="Normal"/>
    <w:next w:val="Normal"/>
    <w:autoRedefine/>
    <w:uiPriority w:val="39"/>
    <w:rsid w:val="00E85775"/>
    <w:pPr>
      <w:ind w:left="1400"/>
    </w:pPr>
    <w:rPr>
      <w:rFonts w:asciiTheme="minorHAnsi" w:hAnsiTheme="minorHAnsi" w:cstheme="minorHAnsi"/>
    </w:rPr>
  </w:style>
  <w:style w:type="paragraph" w:customStyle="1" w:styleId="Tiret1">
    <w:name w:val="Tiret 1"/>
    <w:basedOn w:val="Corpsdetexte"/>
    <w:rsid w:val="00E85775"/>
    <w:pPr>
      <w:numPr>
        <w:numId w:val="7"/>
      </w:numPr>
      <w:spacing w:before="60" w:after="60" w:line="240" w:lineRule="auto"/>
      <w:ind w:right="0"/>
      <w:jc w:val="both"/>
    </w:pPr>
    <w:rPr>
      <w:b w:val="0"/>
      <w:bCs w:val="0"/>
      <w:sz w:val="24"/>
      <w:lang w:val="fr-FR" w:eastAsia="fr-FR"/>
    </w:rPr>
  </w:style>
  <w:style w:type="table" w:styleId="Grilledutableau">
    <w:name w:val="Table Grid"/>
    <w:basedOn w:val="TableauNormal"/>
    <w:rsid w:val="00E857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aliases w:val="Titre 1 a)"/>
    <w:basedOn w:val="Normal"/>
    <w:next w:val="Normal"/>
    <w:link w:val="TitreCar"/>
    <w:qFormat/>
    <w:rsid w:val="00096ED4"/>
    <w:rPr>
      <w:rFonts w:eastAsia="Times New Roman" w:cs="Arial"/>
      <w:b/>
      <w:bCs/>
      <w:kern w:val="28"/>
      <w:sz w:val="22"/>
      <w:szCs w:val="24"/>
    </w:rPr>
  </w:style>
  <w:style w:type="character" w:customStyle="1" w:styleId="TitreCar">
    <w:name w:val="Titre Car"/>
    <w:aliases w:val="Titre 1 a) Car"/>
    <w:basedOn w:val="Policepardfaut"/>
    <w:link w:val="Titre"/>
    <w:rsid w:val="00096ED4"/>
    <w:rPr>
      <w:rFonts w:ascii="Arial" w:eastAsia="Times New Roman" w:hAnsi="Arial" w:cs="Arial"/>
      <w:b/>
      <w:bCs/>
      <w:kern w:val="28"/>
      <w:sz w:val="22"/>
      <w:szCs w:val="24"/>
    </w:rPr>
  </w:style>
  <w:style w:type="paragraph" w:styleId="En-ttedetabledesmatires">
    <w:name w:val="TOC Heading"/>
    <w:basedOn w:val="Titre1"/>
    <w:next w:val="Normal"/>
    <w:uiPriority w:val="39"/>
    <w:unhideWhenUsed/>
    <w:qFormat/>
    <w:rsid w:val="00E85775"/>
    <w:pPr>
      <w:keepLines/>
      <w:numPr>
        <w:numId w:val="0"/>
      </w:numPr>
      <w:spacing w:before="480" w:after="0" w:line="276" w:lineRule="auto"/>
      <w:outlineLvl w:val="9"/>
    </w:pPr>
    <w:rPr>
      <w:rFonts w:ascii="Cambria" w:hAnsi="Cambria"/>
      <w:caps w:val="0"/>
      <w:color w:val="365F91"/>
      <w:kern w:val="0"/>
      <w:sz w:val="28"/>
      <w:szCs w:val="28"/>
      <w:lang w:val="fr-FR" w:eastAsia="fr-FR"/>
    </w:rPr>
  </w:style>
  <w:style w:type="paragraph" w:styleId="Sous-titre">
    <w:name w:val="Subtitle"/>
    <w:basedOn w:val="Normal"/>
    <w:next w:val="Normal"/>
    <w:link w:val="Sous-titreCar"/>
    <w:rsid w:val="00E85775"/>
    <w:pPr>
      <w:numPr>
        <w:numId w:val="8"/>
      </w:numPr>
      <w:spacing w:before="120"/>
      <w:outlineLvl w:val="1"/>
    </w:pPr>
    <w:rPr>
      <w:rFonts w:ascii="Times New Roman" w:eastAsia="Times New Roman" w:hAnsi="Times New Roman"/>
      <w:szCs w:val="24"/>
      <w:u w:val="single"/>
    </w:rPr>
  </w:style>
  <w:style w:type="character" w:customStyle="1" w:styleId="Sous-titreCar">
    <w:name w:val="Sous-titre Car"/>
    <w:basedOn w:val="Policepardfaut"/>
    <w:link w:val="Sous-titre"/>
    <w:rsid w:val="00E85775"/>
    <w:rPr>
      <w:rFonts w:ascii="Times New Roman" w:eastAsia="Times New Roman" w:hAnsi="Times New Roman"/>
      <w:szCs w:val="24"/>
      <w:u w:val="single"/>
    </w:rPr>
  </w:style>
  <w:style w:type="paragraph" w:styleId="Objetducommentaire">
    <w:name w:val="annotation subject"/>
    <w:basedOn w:val="Commentaire"/>
    <w:next w:val="Commentaire"/>
    <w:link w:val="ObjetducommentaireCar"/>
    <w:rsid w:val="00E85775"/>
    <w:rPr>
      <w:b/>
      <w:bCs/>
    </w:rPr>
  </w:style>
  <w:style w:type="character" w:customStyle="1" w:styleId="ObjetducommentaireCar">
    <w:name w:val="Objet du commentaire Car"/>
    <w:basedOn w:val="CommentaireCar"/>
    <w:link w:val="Objetducommentaire"/>
    <w:rsid w:val="00E85775"/>
    <w:rPr>
      <w:rFonts w:ascii="Times New Roman" w:eastAsia="Times New Roman" w:hAnsi="Times New Roman"/>
      <w:b/>
      <w:bCs/>
    </w:rPr>
  </w:style>
  <w:style w:type="paragraph" w:styleId="Paragraphedeliste">
    <w:name w:val="List Paragraph"/>
    <w:aliases w:val="Puces"/>
    <w:basedOn w:val="Normal"/>
    <w:link w:val="ParagraphedelisteCar"/>
    <w:qFormat/>
    <w:rsid w:val="00E85775"/>
    <w:pPr>
      <w:spacing w:before="60" w:line="312" w:lineRule="auto"/>
      <w:ind w:left="720"/>
      <w:contextualSpacing/>
    </w:pPr>
    <w:rPr>
      <w:rFonts w:eastAsia="Times New Roman"/>
      <w:lang w:eastAsia="en-US"/>
    </w:rPr>
  </w:style>
  <w:style w:type="character" w:styleId="lev">
    <w:name w:val="Strong"/>
    <w:rsid w:val="00E85775"/>
    <w:rPr>
      <w:b/>
      <w:bCs/>
    </w:rPr>
  </w:style>
  <w:style w:type="paragraph" w:customStyle="1" w:styleId="Default">
    <w:name w:val="Default"/>
    <w:rsid w:val="009B1874"/>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9B1874"/>
    <w:pPr>
      <w:spacing w:line="241" w:lineRule="atLeast"/>
    </w:pPr>
    <w:rPr>
      <w:color w:val="auto"/>
    </w:rPr>
  </w:style>
  <w:style w:type="paragraph" w:customStyle="1" w:styleId="Pa5">
    <w:name w:val="Pa5"/>
    <w:basedOn w:val="Default"/>
    <w:next w:val="Default"/>
    <w:uiPriority w:val="99"/>
    <w:rsid w:val="009B1874"/>
    <w:pPr>
      <w:spacing w:line="241" w:lineRule="atLeast"/>
    </w:pPr>
    <w:rPr>
      <w:color w:val="auto"/>
    </w:rPr>
  </w:style>
  <w:style w:type="character" w:customStyle="1" w:styleId="A0">
    <w:name w:val="A0"/>
    <w:uiPriority w:val="99"/>
    <w:rsid w:val="009B1874"/>
    <w:rPr>
      <w:color w:val="000000"/>
      <w:sz w:val="18"/>
      <w:szCs w:val="18"/>
    </w:rPr>
  </w:style>
  <w:style w:type="paragraph" w:customStyle="1" w:styleId="Pa0">
    <w:name w:val="Pa0"/>
    <w:basedOn w:val="Default"/>
    <w:next w:val="Default"/>
    <w:uiPriority w:val="99"/>
    <w:rsid w:val="009B1874"/>
    <w:pPr>
      <w:spacing w:line="241" w:lineRule="atLeast"/>
    </w:pPr>
    <w:rPr>
      <w:color w:val="auto"/>
    </w:rPr>
  </w:style>
  <w:style w:type="character" w:customStyle="1" w:styleId="A1">
    <w:name w:val="A1"/>
    <w:uiPriority w:val="99"/>
    <w:rsid w:val="009B1874"/>
    <w:rPr>
      <w:b/>
      <w:bCs/>
      <w:color w:val="000000"/>
      <w:sz w:val="12"/>
      <w:szCs w:val="12"/>
    </w:rPr>
  </w:style>
  <w:style w:type="paragraph" w:customStyle="1" w:styleId="Pa1">
    <w:name w:val="Pa1"/>
    <w:basedOn w:val="Default"/>
    <w:next w:val="Default"/>
    <w:uiPriority w:val="99"/>
    <w:rsid w:val="009B1874"/>
    <w:pPr>
      <w:spacing w:line="241" w:lineRule="atLeast"/>
    </w:pPr>
    <w:rPr>
      <w:color w:val="auto"/>
    </w:rPr>
  </w:style>
  <w:style w:type="paragraph" w:customStyle="1" w:styleId="Pa2">
    <w:name w:val="Pa2"/>
    <w:basedOn w:val="Default"/>
    <w:next w:val="Default"/>
    <w:uiPriority w:val="99"/>
    <w:rsid w:val="009B1874"/>
    <w:pPr>
      <w:spacing w:line="241" w:lineRule="atLeast"/>
    </w:pPr>
    <w:rPr>
      <w:color w:val="auto"/>
    </w:rPr>
  </w:style>
  <w:style w:type="character" w:customStyle="1" w:styleId="A2">
    <w:name w:val="A2"/>
    <w:uiPriority w:val="99"/>
    <w:rsid w:val="009B1874"/>
    <w:rPr>
      <w:color w:val="000000"/>
      <w:sz w:val="18"/>
      <w:szCs w:val="18"/>
    </w:rPr>
  </w:style>
  <w:style w:type="character" w:customStyle="1" w:styleId="A4">
    <w:name w:val="A4"/>
    <w:uiPriority w:val="99"/>
    <w:rsid w:val="009B1874"/>
    <w:rPr>
      <w:color w:val="000000"/>
      <w:sz w:val="12"/>
      <w:szCs w:val="12"/>
    </w:rPr>
  </w:style>
  <w:style w:type="character" w:customStyle="1" w:styleId="A6">
    <w:name w:val="A6"/>
    <w:uiPriority w:val="99"/>
    <w:rsid w:val="009B1874"/>
    <w:rPr>
      <w:b/>
      <w:bCs/>
      <w:color w:val="000000"/>
      <w:sz w:val="18"/>
      <w:szCs w:val="18"/>
      <w:u w:val="single"/>
    </w:rPr>
  </w:style>
  <w:style w:type="paragraph" w:customStyle="1" w:styleId="Pa3">
    <w:name w:val="Pa3"/>
    <w:basedOn w:val="Default"/>
    <w:next w:val="Default"/>
    <w:uiPriority w:val="99"/>
    <w:rsid w:val="009B1874"/>
    <w:pPr>
      <w:spacing w:line="241" w:lineRule="atLeast"/>
    </w:pPr>
    <w:rPr>
      <w:color w:val="auto"/>
    </w:rPr>
  </w:style>
  <w:style w:type="character" w:customStyle="1" w:styleId="A5">
    <w:name w:val="A5"/>
    <w:uiPriority w:val="99"/>
    <w:rsid w:val="009B1874"/>
    <w:rPr>
      <w:b/>
      <w:bCs/>
      <w:color w:val="000000"/>
      <w:sz w:val="16"/>
      <w:szCs w:val="16"/>
    </w:rPr>
  </w:style>
  <w:style w:type="paragraph" w:customStyle="1" w:styleId="Pa8">
    <w:name w:val="Pa8"/>
    <w:basedOn w:val="Default"/>
    <w:next w:val="Default"/>
    <w:uiPriority w:val="99"/>
    <w:rsid w:val="009B1874"/>
    <w:pPr>
      <w:spacing w:line="241" w:lineRule="atLeast"/>
    </w:pPr>
    <w:rPr>
      <w:color w:val="auto"/>
    </w:rPr>
  </w:style>
  <w:style w:type="character" w:customStyle="1" w:styleId="A12">
    <w:name w:val="A12"/>
    <w:uiPriority w:val="99"/>
    <w:rsid w:val="009B1874"/>
    <w:rPr>
      <w:i/>
      <w:iCs/>
      <w:color w:val="000000"/>
      <w:sz w:val="15"/>
      <w:szCs w:val="15"/>
      <w:u w:val="single"/>
    </w:rPr>
  </w:style>
  <w:style w:type="character" w:customStyle="1" w:styleId="A13">
    <w:name w:val="A13"/>
    <w:uiPriority w:val="99"/>
    <w:rsid w:val="009B1874"/>
    <w:rPr>
      <w:color w:val="000000"/>
      <w:sz w:val="15"/>
      <w:szCs w:val="15"/>
    </w:rPr>
  </w:style>
  <w:style w:type="paragraph" w:customStyle="1" w:styleId="Pa9">
    <w:name w:val="Pa9"/>
    <w:basedOn w:val="Default"/>
    <w:next w:val="Default"/>
    <w:uiPriority w:val="99"/>
    <w:rsid w:val="009B1874"/>
    <w:pPr>
      <w:spacing w:line="241" w:lineRule="atLeast"/>
    </w:pPr>
    <w:rPr>
      <w:color w:val="auto"/>
    </w:rPr>
  </w:style>
  <w:style w:type="character" w:styleId="Emphaseintense">
    <w:name w:val="Intense Emphasis"/>
    <w:basedOn w:val="Policepardfaut"/>
    <w:uiPriority w:val="21"/>
    <w:qFormat/>
    <w:rsid w:val="003F04FC"/>
    <w:rPr>
      <w:i/>
      <w:iCs/>
      <w:color w:val="4472C4" w:themeColor="accent1"/>
    </w:rPr>
  </w:style>
  <w:style w:type="character" w:styleId="Accentuation">
    <w:name w:val="Emphasis"/>
    <w:basedOn w:val="Policepardfaut"/>
    <w:uiPriority w:val="20"/>
    <w:qFormat/>
    <w:rsid w:val="008E3EB8"/>
    <w:rPr>
      <w:i/>
      <w:iCs/>
    </w:rPr>
  </w:style>
  <w:style w:type="paragraph" w:customStyle="1" w:styleId="CharChar1">
    <w:name w:val="Char Char1"/>
    <w:basedOn w:val="Normal"/>
    <w:rsid w:val="00F324F8"/>
    <w:pPr>
      <w:spacing w:after="160" w:line="240" w:lineRule="exact"/>
      <w:jc w:val="left"/>
    </w:pPr>
    <w:rPr>
      <w:rFonts w:ascii="Tahoma" w:eastAsia="Times New Roman" w:hAnsi="Tahoma"/>
      <w:sz w:val="24"/>
      <w:szCs w:val="24"/>
      <w:lang w:val="en-US" w:eastAsia="en-US"/>
    </w:rPr>
  </w:style>
  <w:style w:type="character" w:styleId="Emphaseple">
    <w:name w:val="Subtle Emphasis"/>
    <w:basedOn w:val="Policepardfaut"/>
    <w:uiPriority w:val="19"/>
    <w:qFormat/>
    <w:rsid w:val="00D269F9"/>
    <w:rPr>
      <w:i/>
      <w:iCs/>
      <w:color w:val="404040" w:themeColor="text1" w:themeTint="BF"/>
    </w:rPr>
  </w:style>
  <w:style w:type="table" w:customStyle="1" w:styleId="Grilledutableau1">
    <w:name w:val="Grille du tableau1"/>
    <w:basedOn w:val="TableauNormal"/>
    <w:next w:val="Grilledutableau"/>
    <w:rsid w:val="009D3DD3"/>
    <w:rPr>
      <w:rFonts w:ascii="Times New Roman" w:eastAsia="PMingLiU"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
    <w:name w:val="Aucun"/>
    <w:rsid w:val="005E632F"/>
  </w:style>
  <w:style w:type="paragraph" w:styleId="Rvision">
    <w:name w:val="Revision"/>
    <w:hidden/>
    <w:uiPriority w:val="99"/>
    <w:semiHidden/>
    <w:rsid w:val="00241878"/>
    <w:rPr>
      <w:rFonts w:ascii="Arial" w:hAnsi="Arial"/>
    </w:rPr>
  </w:style>
  <w:style w:type="character" w:customStyle="1" w:styleId="ParagraphedelisteCar">
    <w:name w:val="Paragraphe de liste Car"/>
    <w:aliases w:val="Puces Car"/>
    <w:link w:val="Paragraphedeliste"/>
    <w:rsid w:val="00966D05"/>
    <w:rPr>
      <w:rFonts w:ascii="Arial" w:eastAsia="Times New Roman" w:hAnsi="Arial"/>
      <w:lang w:eastAsia="en-US"/>
    </w:rPr>
  </w:style>
  <w:style w:type="character" w:customStyle="1" w:styleId="En-tteCar">
    <w:name w:val="En-tête Car"/>
    <w:basedOn w:val="Policepardfaut"/>
    <w:link w:val="En-tte"/>
    <w:rsid w:val="00174479"/>
    <w:rPr>
      <w:rFonts w:ascii="Arial" w:hAnsi="Arial"/>
    </w:rPr>
  </w:style>
  <w:style w:type="paragraph" w:customStyle="1" w:styleId="0TEXTE">
    <w:name w:val="0_TEXTE"/>
    <w:basedOn w:val="Normal"/>
    <w:link w:val="0TEXTECar"/>
    <w:qFormat/>
    <w:rsid w:val="0096115F"/>
    <w:pPr>
      <w:spacing w:before="120"/>
    </w:pPr>
    <w:rPr>
      <w:rFonts w:asciiTheme="minorHAnsi" w:eastAsia="Times New Roman" w:hAnsiTheme="minorHAnsi"/>
      <w:szCs w:val="22"/>
    </w:rPr>
  </w:style>
  <w:style w:type="character" w:customStyle="1" w:styleId="0TEXTECar">
    <w:name w:val="0_TEXTE Car"/>
    <w:link w:val="0TEXTE"/>
    <w:rsid w:val="0096115F"/>
    <w:rPr>
      <w:rFonts w:asciiTheme="minorHAnsi" w:eastAsia="Times New Roman"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23205">
      <w:bodyDiv w:val="1"/>
      <w:marLeft w:val="0"/>
      <w:marRight w:val="0"/>
      <w:marTop w:val="0"/>
      <w:marBottom w:val="0"/>
      <w:divBdr>
        <w:top w:val="none" w:sz="0" w:space="0" w:color="auto"/>
        <w:left w:val="none" w:sz="0" w:space="0" w:color="auto"/>
        <w:bottom w:val="none" w:sz="0" w:space="0" w:color="auto"/>
        <w:right w:val="none" w:sz="0" w:space="0" w:color="auto"/>
      </w:divBdr>
    </w:div>
    <w:div w:id="1569346568">
      <w:bodyDiv w:val="1"/>
      <w:marLeft w:val="0"/>
      <w:marRight w:val="0"/>
      <w:marTop w:val="0"/>
      <w:marBottom w:val="0"/>
      <w:divBdr>
        <w:top w:val="none" w:sz="0" w:space="0" w:color="auto"/>
        <w:left w:val="none" w:sz="0" w:space="0" w:color="auto"/>
        <w:bottom w:val="none" w:sz="0" w:space="0" w:color="auto"/>
        <w:right w:val="none" w:sz="0" w:space="0" w:color="auto"/>
      </w:divBdr>
    </w:div>
    <w:div w:id="1759597753">
      <w:bodyDiv w:val="1"/>
      <w:marLeft w:val="0"/>
      <w:marRight w:val="0"/>
      <w:marTop w:val="0"/>
      <w:marBottom w:val="0"/>
      <w:divBdr>
        <w:top w:val="none" w:sz="0" w:space="0" w:color="auto"/>
        <w:left w:val="none" w:sz="0" w:space="0" w:color="auto"/>
        <w:bottom w:val="none" w:sz="0" w:space="0" w:color="auto"/>
        <w:right w:val="none" w:sz="0" w:space="0" w:color="auto"/>
      </w:divBdr>
    </w:div>
    <w:div w:id="1866285580">
      <w:bodyDiv w:val="1"/>
      <w:marLeft w:val="0"/>
      <w:marRight w:val="0"/>
      <w:marTop w:val="0"/>
      <w:marBottom w:val="0"/>
      <w:divBdr>
        <w:top w:val="none" w:sz="0" w:space="0" w:color="auto"/>
        <w:left w:val="none" w:sz="0" w:space="0" w:color="auto"/>
        <w:bottom w:val="none" w:sz="0" w:space="0" w:color="auto"/>
        <w:right w:val="none" w:sz="0" w:space="0" w:color="auto"/>
      </w:divBdr>
    </w:div>
    <w:div w:id="187465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Texte.do?cidTexte=JORFTEXT000024892134"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ga-sdpamg-bfin-fournisseurs.contact.fct@intradef.gouv.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do;jsessionid=B9A04DE23A73F1D05B4726E0DCF57D29.tplgfr28s_1?idSectionTA=LEGISCTA000006165407&amp;cidTexte=LEGITEXT000006070719&amp;dateTexte=20181123"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B9A04DE23A73F1D05B4726E0DCF57D29.tplgfr28s_1?idSectionTA=LEGISCTA000006165356&amp;cidTexte=LEGITEXT000006070719&amp;dateTexte=20181123"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6" ma:contentTypeDescription="Crée un document de référence" ma:contentTypeScope="" ma:versionID="7d8a2499436a47236230baf2f950ac16">
  <xsd:schema xmlns:xsd="http://www.w3.org/2001/XMLSchema" xmlns:xs="http://www.w3.org/2001/XMLSchema" xmlns:p="http://schemas.microsoft.com/office/2006/metadata/properties" xmlns:ns2="347c3cc3-4efd-470a-a8bf-9e6fcb399319" targetNamespace="http://schemas.microsoft.com/office/2006/metadata/properties" ma:root="true" ma:fieldsID="02c28ea5b39f7722b6ad9540437980fb" ns2:_="">
    <xsd:import namespace="347c3cc3-4efd-470a-a8bf-9e6fcb399319"/>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42BDD-312E-4650-A517-4DC0807F98B1}">
  <ds:schemaRefs>
    <ds:schemaRef ds:uri="http://schemas.microsoft.com/office/2006/metadata/properties"/>
    <ds:schemaRef ds:uri="http://schemas.microsoft.com/office/infopath/2007/PartnerControls"/>
    <ds:schemaRef ds:uri="347c3cc3-4efd-470a-a8bf-9e6fcb399319"/>
  </ds:schemaRefs>
</ds:datastoreItem>
</file>

<file path=customXml/itemProps2.xml><?xml version="1.0" encoding="utf-8"?>
<ds:datastoreItem xmlns:ds="http://schemas.openxmlformats.org/officeDocument/2006/customXml" ds:itemID="{B1012828-FD8E-4762-913A-7E2903D3A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21BB9-3BB6-407D-95CA-215A8839E3CD}">
  <ds:schemaRefs>
    <ds:schemaRef ds:uri="http://schemas.microsoft.com/sharepoint/v3/contenttype/forms"/>
  </ds:schemaRefs>
</ds:datastoreItem>
</file>

<file path=customXml/itemProps4.xml><?xml version="1.0" encoding="utf-8"?>
<ds:datastoreItem xmlns:ds="http://schemas.openxmlformats.org/officeDocument/2006/customXml" ds:itemID="{CC7A3228-294A-40B4-9067-07670534A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15996</Words>
  <Characters>92797</Characters>
  <Application>Microsoft Office Word</Application>
  <DocSecurity>0</DocSecurity>
  <Lines>773</Lines>
  <Paragraphs>217</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108576</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GALEA Anne SA CS MINDEF</dc:creator>
  <cp:keywords/>
  <dc:description/>
  <cp:lastModifiedBy>MADI ALI Rachad TSEF 2CL</cp:lastModifiedBy>
  <cp:revision>4</cp:revision>
  <dcterms:created xsi:type="dcterms:W3CDTF">2025-09-17T08:08:00Z</dcterms:created>
  <dcterms:modified xsi:type="dcterms:W3CDTF">2025-09-17T12:50:00Z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